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880B" w14:textId="1ABD290F" w:rsidR="0047584B" w:rsidRDefault="0047584B" w:rsidP="006C21B9">
      <w:pPr>
        <w:pStyle w:val="Zkladntext2"/>
        <w:rPr>
          <w:color w:val="000000" w:themeColor="text1"/>
        </w:rPr>
      </w:pPr>
      <w:bookmarkStart w:id="0" w:name="_Toc349353673"/>
      <w:bookmarkStart w:id="1" w:name="_Toc349359296"/>
      <w:bookmarkStart w:id="2" w:name="_Toc351535279"/>
      <w:bookmarkStart w:id="3" w:name="_Toc351547337"/>
    </w:p>
    <w:p w14:paraId="0DF9E74C" w14:textId="77777777" w:rsidR="00C62A91" w:rsidRPr="00363C56" w:rsidRDefault="00C62A91" w:rsidP="006C21B9">
      <w:pPr>
        <w:pStyle w:val="Zkladntext2"/>
        <w:rPr>
          <w:color w:val="000000" w:themeColor="text1"/>
        </w:rPr>
      </w:pPr>
    </w:p>
    <w:p w14:paraId="6FC2E74F" w14:textId="77777777" w:rsidR="0047584B" w:rsidRPr="00363C56" w:rsidRDefault="0047584B" w:rsidP="0047584B">
      <w:pPr>
        <w:pStyle w:val="Nadpis1"/>
        <w:ind w:hanging="709"/>
        <w:rPr>
          <w:rFonts w:ascii="Times New Roman" w:hAnsi="Times New Roman"/>
          <w:color w:val="000000" w:themeColor="text1"/>
          <w:sz w:val="28"/>
        </w:rPr>
      </w:pPr>
      <w:bookmarkStart w:id="4" w:name="_Toc524022249"/>
      <w:r w:rsidRPr="00363C56">
        <w:rPr>
          <w:rFonts w:ascii="Times New Roman" w:hAnsi="Times New Roman"/>
          <w:color w:val="000000" w:themeColor="text1"/>
          <w:sz w:val="28"/>
        </w:rPr>
        <w:t>Technická zpráva</w:t>
      </w:r>
      <w:bookmarkEnd w:id="4"/>
      <w:r w:rsidRPr="00363C56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2330AF52" w14:textId="77777777" w:rsidR="0047584B" w:rsidRPr="00363C56" w:rsidRDefault="0047584B" w:rsidP="0047584B">
      <w:pPr>
        <w:pStyle w:val="Nadpis2"/>
        <w:ind w:hanging="567"/>
        <w:rPr>
          <w:rFonts w:ascii="Times New Roman" w:hAnsi="Times New Roman"/>
          <w:color w:val="000000" w:themeColor="text1"/>
          <w:sz w:val="24"/>
        </w:rPr>
      </w:pPr>
      <w:bookmarkStart w:id="5" w:name="_Toc524022250"/>
      <w:r w:rsidRPr="00363C56">
        <w:rPr>
          <w:rFonts w:ascii="Times New Roman" w:hAnsi="Times New Roman"/>
          <w:color w:val="000000" w:themeColor="text1"/>
          <w:sz w:val="24"/>
        </w:rPr>
        <w:t>Vstupní podklady</w:t>
      </w:r>
      <w:bookmarkEnd w:id="5"/>
    </w:p>
    <w:p w14:paraId="1DC2ACBD" w14:textId="15F388A8" w:rsidR="0047584B" w:rsidRPr="00363C56" w:rsidRDefault="0047584B" w:rsidP="0047584B">
      <w:pPr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 xml:space="preserve">technologické projekty </w:t>
      </w:r>
      <w:r w:rsidR="00B33E8A">
        <w:rPr>
          <w:rFonts w:ascii="Times New Roman" w:hAnsi="Times New Roman"/>
          <w:color w:val="000000" w:themeColor="text1"/>
          <w:sz w:val="24"/>
        </w:rPr>
        <w:t>CHZ</w:t>
      </w:r>
      <w:r w:rsidR="00B232B2">
        <w:rPr>
          <w:rFonts w:ascii="Times New Roman" w:hAnsi="Times New Roman"/>
          <w:color w:val="000000" w:themeColor="text1"/>
          <w:sz w:val="24"/>
        </w:rPr>
        <w:t>,</w:t>
      </w:r>
    </w:p>
    <w:p w14:paraId="5069A13B" w14:textId="77777777" w:rsidR="0047584B" w:rsidRPr="00363C56" w:rsidRDefault="0047584B" w:rsidP="0047584B">
      <w:pPr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>požadavky investora a gen. projektanta</w:t>
      </w:r>
    </w:p>
    <w:p w14:paraId="7F5B34B7" w14:textId="77777777" w:rsidR="0047584B" w:rsidRPr="00363C56" w:rsidRDefault="0047584B" w:rsidP="0047584B">
      <w:pPr>
        <w:ind w:left="705"/>
        <w:rPr>
          <w:rFonts w:ascii="Times New Roman" w:hAnsi="Times New Roman"/>
          <w:color w:val="000000" w:themeColor="text1"/>
          <w:sz w:val="24"/>
        </w:rPr>
      </w:pPr>
    </w:p>
    <w:p w14:paraId="690239FA" w14:textId="77777777" w:rsidR="0047584B" w:rsidRPr="00363C56" w:rsidRDefault="0047584B" w:rsidP="0047584B">
      <w:pPr>
        <w:pStyle w:val="Nadpis2"/>
        <w:ind w:hanging="567"/>
        <w:rPr>
          <w:rFonts w:ascii="Times New Roman" w:hAnsi="Times New Roman"/>
          <w:color w:val="000000" w:themeColor="text1"/>
          <w:sz w:val="24"/>
        </w:rPr>
      </w:pPr>
      <w:bookmarkStart w:id="6" w:name="_Toc466203930"/>
      <w:bookmarkStart w:id="7" w:name="_Toc25490102"/>
      <w:bookmarkStart w:id="8" w:name="_Toc524022251"/>
      <w:r w:rsidRPr="00363C56">
        <w:rPr>
          <w:rFonts w:ascii="Times New Roman" w:hAnsi="Times New Roman"/>
          <w:color w:val="000000" w:themeColor="text1"/>
          <w:sz w:val="24"/>
        </w:rPr>
        <w:t>Energetická soustava</w:t>
      </w:r>
      <w:bookmarkEnd w:id="6"/>
      <w:bookmarkEnd w:id="7"/>
      <w:bookmarkEnd w:id="8"/>
    </w:p>
    <w:p w14:paraId="1577226F" w14:textId="77777777" w:rsidR="0047584B" w:rsidRPr="00363C56" w:rsidRDefault="0047584B" w:rsidP="0065258E">
      <w:pPr>
        <w:jc w:val="both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ab/>
        <w:t>Energetická soustava, včetně požadovaného příkonu</w:t>
      </w:r>
      <w:r w:rsidR="000D30D9">
        <w:rPr>
          <w:rFonts w:ascii="Times New Roman" w:hAnsi="Times New Roman"/>
          <w:color w:val="000000" w:themeColor="text1"/>
          <w:sz w:val="24"/>
        </w:rPr>
        <w:t>,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 je uvedena v tabulce rozvaděčů. Z rozvaděčů MaR je řešeno i napájení tzv. technologického silnoproudu. Napájení rozv</w:t>
      </w:r>
      <w:r w:rsidR="0065258E">
        <w:rPr>
          <w:rFonts w:ascii="Times New Roman" w:hAnsi="Times New Roman"/>
          <w:color w:val="000000" w:themeColor="text1"/>
          <w:sz w:val="24"/>
        </w:rPr>
        <w:t xml:space="preserve">odnic regulátorů je řešeno z patrových rozvaděčů jednofázovým přívodem v soustavě TN-S. </w:t>
      </w:r>
      <w:r w:rsidRPr="00363C56">
        <w:rPr>
          <w:rFonts w:ascii="Times New Roman" w:hAnsi="Times New Roman"/>
          <w:color w:val="000000" w:themeColor="text1"/>
          <w:sz w:val="24"/>
        </w:rPr>
        <w:t>V</w:t>
      </w:r>
      <w:r w:rsidR="0065258E">
        <w:rPr>
          <w:rFonts w:ascii="Times New Roman" w:hAnsi="Times New Roman"/>
          <w:color w:val="000000" w:themeColor="text1"/>
          <w:sz w:val="24"/>
        </w:rPr>
        <w:t xml:space="preserve"> patrových 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rozvaděčích MaR </w:t>
      </w:r>
      <w:r w:rsidR="0065258E">
        <w:rPr>
          <w:rFonts w:ascii="Times New Roman" w:hAnsi="Times New Roman"/>
          <w:color w:val="000000" w:themeColor="text1"/>
          <w:sz w:val="24"/>
        </w:rPr>
        <w:t>je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 řešena přepěťová ochrana 3. stupně (T3) pro zařízení měření a regulace. Přepěťová ochrana 1. a 2. stupně (T1, T2) </w:t>
      </w:r>
      <w:r w:rsidR="0065258E">
        <w:rPr>
          <w:rFonts w:ascii="Times New Roman" w:hAnsi="Times New Roman"/>
          <w:color w:val="000000" w:themeColor="text1"/>
          <w:sz w:val="24"/>
        </w:rPr>
        <w:t xml:space="preserve">je 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 řešena v rozvaděčích technologického silnoproudu.</w:t>
      </w:r>
    </w:p>
    <w:p w14:paraId="1670C468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7F2B9994" w14:textId="77777777" w:rsidR="0047584B" w:rsidRPr="00363C56" w:rsidRDefault="0047584B" w:rsidP="0047584B">
      <w:pPr>
        <w:pStyle w:val="Nadpis2"/>
        <w:ind w:hanging="567"/>
        <w:rPr>
          <w:rFonts w:ascii="Times New Roman" w:hAnsi="Times New Roman"/>
          <w:color w:val="000000" w:themeColor="text1"/>
          <w:sz w:val="24"/>
        </w:rPr>
      </w:pPr>
      <w:bookmarkStart w:id="9" w:name="_Toc466203931"/>
      <w:bookmarkStart w:id="10" w:name="_Toc25490103"/>
      <w:bookmarkStart w:id="11" w:name="_Toc524022252"/>
      <w:r w:rsidRPr="00363C56">
        <w:rPr>
          <w:rFonts w:ascii="Times New Roman" w:hAnsi="Times New Roman"/>
          <w:color w:val="000000" w:themeColor="text1"/>
          <w:sz w:val="24"/>
        </w:rPr>
        <w:t>Ochrana před nebezpečným dotykovým napětím</w:t>
      </w:r>
      <w:bookmarkEnd w:id="9"/>
      <w:bookmarkEnd w:id="10"/>
      <w:bookmarkEnd w:id="11"/>
    </w:p>
    <w:p w14:paraId="46AFADC3" w14:textId="77777777" w:rsidR="0047584B" w:rsidRPr="00363C56" w:rsidRDefault="0047584B" w:rsidP="0047584B">
      <w:pPr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>Ochrana před úrazem el. proudem je pro sít'  TN-S s jmenovitým napětím do 1000 V AC s uzemněným nulovým bodem dle ČSN 332000-4-41 ed.2 navržena takto:</w:t>
      </w:r>
    </w:p>
    <w:p w14:paraId="5CA9FA5D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7FF6AA88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>a) u živých částí  -  izolací, krytím, zábranou nebo polohou</w:t>
      </w:r>
    </w:p>
    <w:p w14:paraId="34F92110" w14:textId="77777777" w:rsidR="0047584B" w:rsidRPr="00363C56" w:rsidRDefault="0047584B" w:rsidP="0047584B">
      <w:pPr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>b) u neživých vodivých částí</w:t>
      </w:r>
    </w:p>
    <w:p w14:paraId="54762DD1" w14:textId="77777777" w:rsidR="0047584B" w:rsidRPr="00363C56" w:rsidRDefault="0047584B" w:rsidP="000D30D9">
      <w:pPr>
        <w:ind w:left="1074" w:hanging="1074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 xml:space="preserve">- základní - samočinným odpojením od zdroje podle  ČSN 33 20 00 - 4 - 41 ed.2 a  bezpečným </w:t>
      </w:r>
      <w:r w:rsidR="000D30D9">
        <w:rPr>
          <w:rFonts w:ascii="Times New Roman" w:hAnsi="Times New Roman"/>
          <w:color w:val="000000" w:themeColor="text1"/>
          <w:sz w:val="24"/>
        </w:rPr>
        <w:t xml:space="preserve">  </w:t>
      </w:r>
      <w:r w:rsidRPr="00363C56">
        <w:rPr>
          <w:rFonts w:ascii="Times New Roman" w:hAnsi="Times New Roman"/>
          <w:color w:val="000000" w:themeColor="text1"/>
          <w:sz w:val="24"/>
        </w:rPr>
        <w:t>malým napětím – SELV</w:t>
      </w:r>
    </w:p>
    <w:p w14:paraId="54C87DF2" w14:textId="77777777" w:rsidR="0047584B" w:rsidRPr="00363C56" w:rsidRDefault="0047584B" w:rsidP="0047584B">
      <w:pPr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 xml:space="preserve">   </w:t>
      </w:r>
      <w:r w:rsidRPr="00363C56">
        <w:rPr>
          <w:rFonts w:ascii="Times New Roman" w:hAnsi="Times New Roman"/>
          <w:color w:val="000000" w:themeColor="text1"/>
          <w:sz w:val="24"/>
        </w:rPr>
        <w:tab/>
        <w:t xml:space="preserve">      - hlaním pospojováním čl. 413.1.2.1</w:t>
      </w:r>
    </w:p>
    <w:p w14:paraId="2A9490A5" w14:textId="77777777" w:rsidR="0047584B" w:rsidRPr="00363C56" w:rsidRDefault="0047584B" w:rsidP="0047584B">
      <w:pPr>
        <w:rPr>
          <w:rFonts w:ascii="Times New Roman" w:hAnsi="Times New Roman"/>
          <w:color w:val="000000" w:themeColor="text1"/>
          <w:sz w:val="24"/>
        </w:rPr>
      </w:pPr>
    </w:p>
    <w:p w14:paraId="207DDAB7" w14:textId="77777777" w:rsidR="0047584B" w:rsidRPr="00363C56" w:rsidRDefault="0047584B" w:rsidP="0047584B">
      <w:pPr>
        <w:pStyle w:val="Zkladntext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 xml:space="preserve">- </w:t>
      </w:r>
      <w:proofErr w:type="gramStart"/>
      <w:r w:rsidRPr="00363C56">
        <w:rPr>
          <w:rFonts w:ascii="Times New Roman" w:hAnsi="Times New Roman"/>
          <w:color w:val="000000" w:themeColor="text1"/>
          <w:sz w:val="24"/>
        </w:rPr>
        <w:t>zvýšená - doplňujícím</w:t>
      </w:r>
      <w:proofErr w:type="gramEnd"/>
      <w:r w:rsidRPr="00363C56">
        <w:rPr>
          <w:rFonts w:ascii="Times New Roman" w:hAnsi="Times New Roman"/>
          <w:color w:val="000000" w:themeColor="text1"/>
          <w:sz w:val="24"/>
        </w:rPr>
        <w:t xml:space="preserve"> pospojováním dle ČSN 33 20 00-4-41 ed.2 čl. 413.1.2.2</w:t>
      </w:r>
    </w:p>
    <w:p w14:paraId="173C70FB" w14:textId="77777777" w:rsidR="0047584B" w:rsidRPr="00363C56" w:rsidRDefault="0047584B" w:rsidP="0047584B">
      <w:pPr>
        <w:pStyle w:val="Zkladntext"/>
        <w:rPr>
          <w:rFonts w:ascii="Times New Roman" w:hAnsi="Times New Roman"/>
          <w:color w:val="000000" w:themeColor="text1"/>
          <w:sz w:val="24"/>
        </w:rPr>
      </w:pPr>
    </w:p>
    <w:p w14:paraId="04C70024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>V prostoru technologických strojoven (VZT, PS apod.) musí být navzájem pospojeny na ekvipotenciální svorkovnici: ochranný vodič, uzemňovací přívod, hlavní ochranná svorka, rozvod potrubí a kovové konstrukční části ÚT, VZT, ZTI, rozvaděče apod.</w:t>
      </w:r>
    </w:p>
    <w:p w14:paraId="615D05F8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48BAF155" w14:textId="77777777" w:rsidR="0047584B" w:rsidRPr="00363C56" w:rsidRDefault="0047584B" w:rsidP="0047584B">
      <w:pPr>
        <w:jc w:val="both"/>
        <w:rPr>
          <w:rFonts w:ascii="Times New Roman" w:hAnsi="Times New Roman"/>
          <w:color w:val="000000" w:themeColor="text1"/>
          <w:sz w:val="24"/>
        </w:rPr>
      </w:pPr>
    </w:p>
    <w:p w14:paraId="46C9157B" w14:textId="77777777" w:rsidR="0047584B" w:rsidRDefault="0047584B" w:rsidP="0047584B">
      <w:pPr>
        <w:pStyle w:val="Nadpis2"/>
        <w:ind w:hanging="567"/>
        <w:rPr>
          <w:rFonts w:ascii="Times New Roman" w:hAnsi="Times New Roman"/>
          <w:color w:val="000000" w:themeColor="text1"/>
          <w:sz w:val="24"/>
        </w:rPr>
      </w:pPr>
      <w:bookmarkStart w:id="12" w:name="_Toc466203932"/>
      <w:bookmarkStart w:id="13" w:name="_Toc25490104"/>
      <w:bookmarkStart w:id="14" w:name="_Toc524022253"/>
      <w:r w:rsidRPr="00363C56">
        <w:rPr>
          <w:rFonts w:ascii="Times New Roman" w:hAnsi="Times New Roman"/>
          <w:color w:val="000000" w:themeColor="text1"/>
          <w:sz w:val="24"/>
        </w:rPr>
        <w:t>Definice prostředí</w:t>
      </w:r>
      <w:bookmarkEnd w:id="12"/>
      <w:bookmarkEnd w:id="13"/>
      <w:bookmarkEnd w:id="14"/>
    </w:p>
    <w:p w14:paraId="2B49F417" w14:textId="77777777" w:rsidR="00F83A8C" w:rsidRPr="00F83A8C" w:rsidRDefault="00F83A8C" w:rsidP="00F83A8C"/>
    <w:p w14:paraId="4F25D91E" w14:textId="297EB389" w:rsidR="0047584B" w:rsidRPr="00363C56" w:rsidRDefault="0047584B" w:rsidP="00685913">
      <w:pPr>
        <w:pStyle w:val="Zkladntext2"/>
        <w:rPr>
          <w:color w:val="000000" w:themeColor="text1"/>
        </w:rPr>
      </w:pPr>
      <w:r w:rsidRPr="00363C56">
        <w:rPr>
          <w:color w:val="000000" w:themeColor="text1"/>
        </w:rPr>
        <w:tab/>
        <w:t xml:space="preserve">Generálním projektantem byla ustanovena komise pro vypracování „Protokolu o určení vnějších vlivů“. Tímto protokolem jsou stanoveny vnější vlivy, ve smyslu ČSN 33 2000-3 i ve smyslu ČSN 33 2000-5-51 (čl. 512.2.4), </w:t>
      </w:r>
      <w:r w:rsidRPr="00363C56">
        <w:rPr>
          <w:rFonts w:cs="Arial"/>
          <w:color w:val="000000" w:themeColor="text1"/>
          <w:szCs w:val="22"/>
        </w:rPr>
        <w:t>ČSN 33 2000-7-</w:t>
      </w:r>
      <w:smartTag w:uri="urn:schemas-microsoft-com:office:smarttags" w:element="metricconverter">
        <w:smartTagPr>
          <w:attr w:name="ProductID" w:val="701 a"/>
        </w:smartTagPr>
        <w:r w:rsidRPr="00363C56">
          <w:rPr>
            <w:rFonts w:cs="Arial"/>
            <w:color w:val="000000" w:themeColor="text1"/>
            <w:szCs w:val="22"/>
          </w:rPr>
          <w:t>701 a</w:t>
        </w:r>
      </w:smartTag>
      <w:r w:rsidRPr="00363C56">
        <w:rPr>
          <w:rFonts w:cs="Arial"/>
          <w:color w:val="000000" w:themeColor="text1"/>
          <w:szCs w:val="22"/>
        </w:rPr>
        <w:t xml:space="preserve"> ČSN 33 2000-7-703</w:t>
      </w:r>
      <w:r w:rsidRPr="00363C56">
        <w:rPr>
          <w:color w:val="000000" w:themeColor="text1"/>
        </w:rPr>
        <w:t xml:space="preserve">, pro jednotlivé prostory. </w:t>
      </w:r>
    </w:p>
    <w:p w14:paraId="7A0727AA" w14:textId="77777777" w:rsidR="0047584B" w:rsidRPr="00363C56" w:rsidRDefault="0047584B" w:rsidP="0047584B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363C56">
        <w:rPr>
          <w:rFonts w:ascii="Times New Roman" w:hAnsi="Times New Roman"/>
          <w:noProof w:val="0"/>
          <w:color w:val="000000" w:themeColor="text1"/>
          <w:sz w:val="24"/>
        </w:rPr>
        <w:t xml:space="preserve">Krytí el. zařízení musí odpovídat uvedeným  vnějším vlivům. </w:t>
      </w:r>
    </w:p>
    <w:p w14:paraId="7F89A7CE" w14:textId="77777777" w:rsidR="0047584B" w:rsidRPr="00363C56" w:rsidRDefault="0047584B" w:rsidP="0047584B">
      <w:pPr>
        <w:rPr>
          <w:rFonts w:ascii="Times New Roman" w:hAnsi="Times New Roman"/>
          <w:noProof w:val="0"/>
          <w:color w:val="000000" w:themeColor="text1"/>
          <w:sz w:val="24"/>
        </w:rPr>
      </w:pPr>
    </w:p>
    <w:p w14:paraId="5EF77E33" w14:textId="77777777" w:rsidR="000D30D9" w:rsidRDefault="0047584B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363C56">
        <w:rPr>
          <w:rFonts w:ascii="Times New Roman" w:hAnsi="Times New Roman"/>
          <w:noProof w:val="0"/>
          <w:color w:val="000000" w:themeColor="text1"/>
          <w:sz w:val="24"/>
        </w:rPr>
        <w:t xml:space="preserve">Protokol o určení vnějších vlivů je součástí projektu stavby, není součástí tohoto projektu. </w:t>
      </w:r>
    </w:p>
    <w:p w14:paraId="57B147D0" w14:textId="77777777" w:rsidR="00F83A8C" w:rsidRDefault="00F83A8C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</w:p>
    <w:p w14:paraId="471CD5DF" w14:textId="77777777" w:rsidR="00F83A8C" w:rsidRDefault="00F83A8C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</w:p>
    <w:p w14:paraId="3845A7A6" w14:textId="77777777" w:rsidR="00595BAD" w:rsidRDefault="00595BAD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633D6AC3" w14:textId="77777777" w:rsidR="00595BAD" w:rsidRDefault="00595BAD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4635A46A" w14:textId="77777777" w:rsidR="00595BAD" w:rsidRDefault="00595BAD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12F14DBA" w14:textId="77777777" w:rsidR="00595BAD" w:rsidRDefault="00595BAD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4E3F9C88" w14:textId="77777777" w:rsidR="00595BAD" w:rsidRDefault="00595BAD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7964DD94" w14:textId="27DF7978" w:rsidR="00F83A8C" w:rsidRDefault="00C62A91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  <w:proofErr w:type="gramStart"/>
      <w:r>
        <w:rPr>
          <w:rFonts w:ascii="Times New Roman" w:hAnsi="Times New Roman"/>
          <w:b/>
          <w:noProof w:val="0"/>
          <w:color w:val="000000" w:themeColor="text1"/>
          <w:sz w:val="24"/>
        </w:rPr>
        <w:t>2</w:t>
      </w:r>
      <w:r w:rsidR="00F83A8C" w:rsidRPr="00F83A8C">
        <w:rPr>
          <w:rFonts w:ascii="Times New Roman" w:hAnsi="Times New Roman"/>
          <w:b/>
          <w:noProof w:val="0"/>
          <w:color w:val="000000" w:themeColor="text1"/>
          <w:sz w:val="24"/>
        </w:rPr>
        <w:t>.</w:t>
      </w:r>
      <w:r>
        <w:rPr>
          <w:rFonts w:ascii="Times New Roman" w:hAnsi="Times New Roman"/>
          <w:b/>
          <w:noProof w:val="0"/>
          <w:color w:val="000000" w:themeColor="text1"/>
          <w:sz w:val="24"/>
        </w:rPr>
        <w:t>0</w:t>
      </w:r>
      <w:r w:rsidR="00F83A8C">
        <w:rPr>
          <w:rFonts w:ascii="Times New Roman" w:hAnsi="Times New Roman"/>
          <w:noProof w:val="0"/>
          <w:color w:val="000000" w:themeColor="text1"/>
          <w:sz w:val="24"/>
        </w:rPr>
        <w:t xml:space="preserve">.  </w:t>
      </w:r>
      <w:r w:rsidR="00F83A8C" w:rsidRPr="00F83A8C">
        <w:rPr>
          <w:rFonts w:ascii="Times New Roman" w:hAnsi="Times New Roman"/>
          <w:noProof w:val="0"/>
          <w:color w:val="000000" w:themeColor="text1"/>
          <w:sz w:val="24"/>
        </w:rPr>
        <w:tab/>
      </w:r>
      <w:proofErr w:type="gramEnd"/>
      <w:r w:rsidR="00F83A8C" w:rsidRPr="00F83A8C">
        <w:rPr>
          <w:rFonts w:ascii="Times New Roman" w:hAnsi="Times New Roman"/>
          <w:b/>
          <w:noProof w:val="0"/>
          <w:color w:val="000000" w:themeColor="text1"/>
          <w:sz w:val="24"/>
        </w:rPr>
        <w:t>Popis regulačních obvodů</w:t>
      </w:r>
    </w:p>
    <w:p w14:paraId="2D955E3E" w14:textId="77777777" w:rsidR="00F83A8C" w:rsidRDefault="00F83A8C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</w:p>
    <w:p w14:paraId="5B59556C" w14:textId="0141420F" w:rsidR="00F83A8C" w:rsidRDefault="001C7A81" w:rsidP="000D30D9">
      <w:pPr>
        <w:rPr>
          <w:rFonts w:ascii="Times New Roman" w:hAnsi="Times New Roman"/>
          <w:b/>
          <w:noProof w:val="0"/>
          <w:color w:val="000000" w:themeColor="text1"/>
          <w:sz w:val="24"/>
        </w:rPr>
      </w:pPr>
      <w:r>
        <w:rPr>
          <w:rFonts w:ascii="Times New Roman" w:hAnsi="Times New Roman"/>
          <w:b/>
          <w:noProof w:val="0"/>
          <w:color w:val="000000" w:themeColor="text1"/>
          <w:sz w:val="24"/>
        </w:rPr>
        <w:t>DETEKCE CHLADIVA</w:t>
      </w:r>
    </w:p>
    <w:p w14:paraId="0CDA204B" w14:textId="0AE5DEAF" w:rsidR="00C64A9E" w:rsidRDefault="00C62A91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  <w:r>
        <w:rPr>
          <w:rFonts w:ascii="Times New Roman" w:hAnsi="Times New Roman"/>
          <w:noProof w:val="0"/>
          <w:color w:val="000000" w:themeColor="text1"/>
          <w:sz w:val="24"/>
        </w:rPr>
        <w:t xml:space="preserve">Ve strojovně </w:t>
      </w:r>
      <w:r w:rsidR="00B232B2">
        <w:rPr>
          <w:rFonts w:ascii="Times New Roman" w:hAnsi="Times New Roman"/>
          <w:noProof w:val="0"/>
          <w:color w:val="000000" w:themeColor="text1"/>
          <w:sz w:val="24"/>
        </w:rPr>
        <w:t>vzduchotechniky v </w:t>
      </w:r>
      <w:r w:rsidR="001C7A81">
        <w:rPr>
          <w:rFonts w:ascii="Times New Roman" w:hAnsi="Times New Roman"/>
          <w:noProof w:val="0"/>
          <w:color w:val="000000" w:themeColor="text1"/>
          <w:sz w:val="24"/>
        </w:rPr>
        <w:t>5</w:t>
      </w:r>
      <w:r w:rsidR="00B232B2">
        <w:rPr>
          <w:rFonts w:ascii="Times New Roman" w:hAnsi="Times New Roman"/>
          <w:noProof w:val="0"/>
          <w:color w:val="000000" w:themeColor="text1"/>
          <w:sz w:val="24"/>
        </w:rPr>
        <w:t xml:space="preserve">.n.p bude </w:t>
      </w:r>
      <w:r w:rsidR="001C7A81">
        <w:rPr>
          <w:rFonts w:ascii="Times New Roman" w:hAnsi="Times New Roman"/>
          <w:noProof w:val="0"/>
          <w:color w:val="000000" w:themeColor="text1"/>
          <w:sz w:val="24"/>
        </w:rPr>
        <w:t>osazen nový rozvaděč RM-DETEKCE. V rozvaděči bude instalován řídicí systém pro napojení detekce ve vybraných prostorech infekčního oddělení ve 4.n.p. V místnostech 409, 410, 419, 420, 421, 438, 439, 484 budou osazeny snímače chladiva R410A</w:t>
      </w:r>
      <w:r w:rsidR="004F7C63">
        <w:rPr>
          <w:rFonts w:ascii="Times New Roman" w:hAnsi="Times New Roman"/>
          <w:noProof w:val="0"/>
          <w:color w:val="000000" w:themeColor="text1"/>
          <w:sz w:val="24"/>
        </w:rPr>
        <w:t xml:space="preserve"> s infračerveným detektorem. V každé místnosti bude osazena světelná a zvuková signalizace úniku chladiva. V případě, že bude zaznamenán únik chladiva v dané místnosti</w:t>
      </w:r>
      <w:r w:rsidR="00331EEA">
        <w:rPr>
          <w:rFonts w:ascii="Times New Roman" w:hAnsi="Times New Roman"/>
          <w:noProof w:val="0"/>
          <w:color w:val="000000" w:themeColor="text1"/>
          <w:sz w:val="24"/>
        </w:rPr>
        <w:t>,</w:t>
      </w:r>
      <w:r w:rsidR="004F7C63">
        <w:rPr>
          <w:rFonts w:ascii="Times New Roman" w:hAnsi="Times New Roman"/>
          <w:noProof w:val="0"/>
          <w:color w:val="000000" w:themeColor="text1"/>
          <w:sz w:val="24"/>
        </w:rPr>
        <w:t xml:space="preserve"> systém </w:t>
      </w:r>
      <w:proofErr w:type="spellStart"/>
      <w:r w:rsidR="004F7C63">
        <w:rPr>
          <w:rFonts w:ascii="Times New Roman" w:hAnsi="Times New Roman"/>
          <w:noProof w:val="0"/>
          <w:color w:val="000000" w:themeColor="text1"/>
          <w:sz w:val="24"/>
        </w:rPr>
        <w:t>MaR</w:t>
      </w:r>
      <w:proofErr w:type="spellEnd"/>
      <w:r w:rsidR="004F7C63">
        <w:rPr>
          <w:rFonts w:ascii="Times New Roman" w:hAnsi="Times New Roman"/>
          <w:noProof w:val="0"/>
          <w:color w:val="000000" w:themeColor="text1"/>
          <w:sz w:val="24"/>
        </w:rPr>
        <w:t xml:space="preserve"> odstaví venkovní chladící jednotku a na dané místnosti aktivuje zvukovou a světelnou signalizaci. Zároveň integrací do stávajícího dispečinku nemocnice bude obsluhu upozorňovat na únik chladiva v dané místnosti.</w:t>
      </w:r>
    </w:p>
    <w:p w14:paraId="5FC3A59F" w14:textId="77777777" w:rsidR="004F7C63" w:rsidRDefault="004F7C63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</w:p>
    <w:p w14:paraId="27159F7C" w14:textId="5FD3E2A6" w:rsidR="00C64A9E" w:rsidRDefault="00C64A9E" w:rsidP="000D30D9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B232B2">
        <w:rPr>
          <w:rFonts w:ascii="Times New Roman" w:hAnsi="Times New Roman"/>
          <w:b/>
          <w:bCs/>
          <w:noProof w:val="0"/>
          <w:color w:val="000000" w:themeColor="text1"/>
          <w:sz w:val="24"/>
        </w:rPr>
        <w:t xml:space="preserve">Systém </w:t>
      </w:r>
      <w:proofErr w:type="spellStart"/>
      <w:r w:rsidRPr="00B232B2">
        <w:rPr>
          <w:rFonts w:ascii="Times New Roman" w:hAnsi="Times New Roman"/>
          <w:b/>
          <w:bCs/>
          <w:noProof w:val="0"/>
          <w:color w:val="000000" w:themeColor="text1"/>
          <w:sz w:val="24"/>
        </w:rPr>
        <w:t>MaR</w:t>
      </w:r>
      <w:proofErr w:type="spellEnd"/>
      <w:r w:rsidRPr="00B232B2">
        <w:rPr>
          <w:rFonts w:ascii="Times New Roman" w:hAnsi="Times New Roman"/>
          <w:b/>
          <w:bCs/>
          <w:noProof w:val="0"/>
          <w:color w:val="000000" w:themeColor="text1"/>
          <w:sz w:val="24"/>
        </w:rPr>
        <w:t xml:space="preserve"> </w:t>
      </w:r>
      <w:r w:rsidR="004F7C63">
        <w:rPr>
          <w:rFonts w:ascii="Times New Roman" w:hAnsi="Times New Roman"/>
          <w:b/>
          <w:bCs/>
          <w:noProof w:val="0"/>
          <w:color w:val="000000" w:themeColor="text1"/>
          <w:sz w:val="24"/>
        </w:rPr>
        <w:t>zajišťuje</w:t>
      </w:r>
      <w:r>
        <w:rPr>
          <w:rFonts w:ascii="Times New Roman" w:hAnsi="Times New Roman"/>
          <w:noProof w:val="0"/>
          <w:color w:val="000000" w:themeColor="text1"/>
          <w:sz w:val="24"/>
        </w:rPr>
        <w:t>:</w:t>
      </w:r>
    </w:p>
    <w:p w14:paraId="6578A9C1" w14:textId="1834D065" w:rsidR="00B232B2" w:rsidRPr="00B232B2" w:rsidRDefault="00B232B2" w:rsidP="00B232B2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B232B2">
        <w:rPr>
          <w:rFonts w:ascii="Times New Roman" w:hAnsi="Times New Roman"/>
          <w:noProof w:val="0"/>
          <w:color w:val="000000" w:themeColor="text1"/>
          <w:sz w:val="24"/>
        </w:rPr>
        <w:t>•</w:t>
      </w:r>
      <w:r w:rsidRPr="00B232B2">
        <w:rPr>
          <w:rFonts w:ascii="Times New Roman" w:hAnsi="Times New Roman"/>
          <w:noProof w:val="0"/>
          <w:color w:val="000000" w:themeColor="text1"/>
          <w:sz w:val="24"/>
        </w:rPr>
        <w:tab/>
      </w:r>
      <w:r w:rsidR="00331EEA">
        <w:rPr>
          <w:rFonts w:ascii="Times New Roman" w:hAnsi="Times New Roman"/>
          <w:noProof w:val="0"/>
          <w:color w:val="000000" w:themeColor="text1"/>
          <w:sz w:val="24"/>
        </w:rPr>
        <w:t>detekci chladiva ve vybraných místnostech</w:t>
      </w:r>
    </w:p>
    <w:p w14:paraId="61152DCC" w14:textId="53672F7B" w:rsidR="00B232B2" w:rsidRPr="00B232B2" w:rsidRDefault="00B232B2" w:rsidP="00B232B2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B232B2">
        <w:rPr>
          <w:rFonts w:ascii="Times New Roman" w:hAnsi="Times New Roman"/>
          <w:noProof w:val="0"/>
          <w:color w:val="000000" w:themeColor="text1"/>
          <w:sz w:val="24"/>
        </w:rPr>
        <w:t>•</w:t>
      </w:r>
      <w:r w:rsidRPr="00B232B2">
        <w:rPr>
          <w:rFonts w:ascii="Times New Roman" w:hAnsi="Times New Roman"/>
          <w:noProof w:val="0"/>
          <w:color w:val="000000" w:themeColor="text1"/>
          <w:sz w:val="24"/>
        </w:rPr>
        <w:tab/>
      </w:r>
      <w:r w:rsidR="00331EEA">
        <w:rPr>
          <w:rFonts w:ascii="Times New Roman" w:hAnsi="Times New Roman"/>
          <w:noProof w:val="0"/>
          <w:color w:val="000000" w:themeColor="text1"/>
          <w:sz w:val="24"/>
        </w:rPr>
        <w:t>aktivaci zvukové a světelné signalizace</w:t>
      </w:r>
    </w:p>
    <w:p w14:paraId="048ADF67" w14:textId="282B0A24" w:rsidR="00B232B2" w:rsidRPr="00B232B2" w:rsidRDefault="00B232B2" w:rsidP="00331EEA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B232B2">
        <w:rPr>
          <w:rFonts w:ascii="Times New Roman" w:hAnsi="Times New Roman"/>
          <w:noProof w:val="0"/>
          <w:color w:val="000000" w:themeColor="text1"/>
          <w:sz w:val="24"/>
        </w:rPr>
        <w:t>•</w:t>
      </w:r>
      <w:r w:rsidRPr="00B232B2">
        <w:rPr>
          <w:rFonts w:ascii="Times New Roman" w:hAnsi="Times New Roman"/>
          <w:noProof w:val="0"/>
          <w:color w:val="000000" w:themeColor="text1"/>
          <w:sz w:val="24"/>
        </w:rPr>
        <w:tab/>
      </w:r>
      <w:r w:rsidR="00331EEA">
        <w:rPr>
          <w:rFonts w:ascii="Times New Roman" w:hAnsi="Times New Roman"/>
          <w:noProof w:val="0"/>
          <w:color w:val="000000" w:themeColor="text1"/>
          <w:sz w:val="24"/>
        </w:rPr>
        <w:t>odstavení chladící jednotky</w:t>
      </w:r>
    </w:p>
    <w:p w14:paraId="5EA9224C" w14:textId="34B01F61" w:rsidR="00B232B2" w:rsidRPr="00B232B2" w:rsidRDefault="00B232B2" w:rsidP="00B232B2">
      <w:pPr>
        <w:rPr>
          <w:rFonts w:ascii="Times New Roman" w:hAnsi="Times New Roman"/>
          <w:noProof w:val="0"/>
          <w:color w:val="000000" w:themeColor="text1"/>
          <w:sz w:val="24"/>
        </w:rPr>
      </w:pPr>
      <w:r w:rsidRPr="00B232B2">
        <w:rPr>
          <w:rFonts w:ascii="Times New Roman" w:hAnsi="Times New Roman"/>
          <w:noProof w:val="0"/>
          <w:color w:val="000000" w:themeColor="text1"/>
          <w:sz w:val="24"/>
        </w:rPr>
        <w:t>•</w:t>
      </w:r>
      <w:r w:rsidRPr="00B232B2">
        <w:rPr>
          <w:rFonts w:ascii="Times New Roman" w:hAnsi="Times New Roman"/>
          <w:noProof w:val="0"/>
          <w:color w:val="000000" w:themeColor="text1"/>
          <w:sz w:val="24"/>
        </w:rPr>
        <w:tab/>
      </w:r>
      <w:r w:rsidR="00331EEA">
        <w:rPr>
          <w:rFonts w:ascii="Times New Roman" w:hAnsi="Times New Roman"/>
          <w:noProof w:val="0"/>
          <w:color w:val="000000" w:themeColor="text1"/>
          <w:sz w:val="24"/>
        </w:rPr>
        <w:t>alarmové hlášení na velínu</w:t>
      </w:r>
    </w:p>
    <w:p w14:paraId="700A48D7" w14:textId="63B0A63A" w:rsidR="00C62A91" w:rsidRPr="00595BAD" w:rsidRDefault="00B232B2" w:rsidP="00331EEA">
      <w:pPr>
        <w:rPr>
          <w:color w:val="000000" w:themeColor="text1"/>
          <w:szCs w:val="24"/>
        </w:rPr>
      </w:pPr>
      <w:r w:rsidRPr="00B232B2">
        <w:rPr>
          <w:rFonts w:ascii="Times New Roman" w:hAnsi="Times New Roman"/>
          <w:noProof w:val="0"/>
          <w:color w:val="000000" w:themeColor="text1"/>
          <w:sz w:val="24"/>
        </w:rPr>
        <w:t>•</w:t>
      </w:r>
      <w:r w:rsidRPr="00B232B2">
        <w:rPr>
          <w:rFonts w:ascii="Times New Roman" w:hAnsi="Times New Roman"/>
          <w:noProof w:val="0"/>
          <w:color w:val="000000" w:themeColor="text1"/>
          <w:sz w:val="24"/>
        </w:rPr>
        <w:tab/>
      </w:r>
      <w:bookmarkStart w:id="15" w:name="_Toc349037963"/>
      <w:bookmarkStart w:id="16" w:name="_Toc349038056"/>
      <w:bookmarkStart w:id="17" w:name="_Toc349112321"/>
      <w:bookmarkStart w:id="18" w:name="_Toc349112807"/>
      <w:bookmarkStart w:id="19" w:name="_Toc349119703"/>
      <w:bookmarkStart w:id="20" w:name="_Toc349120916"/>
    </w:p>
    <w:p w14:paraId="26AFE9B4" w14:textId="532D889A" w:rsidR="00595BAD" w:rsidRPr="00595BAD" w:rsidRDefault="00595BAD" w:rsidP="003C4E8E">
      <w:pPr>
        <w:pStyle w:val="Zkladntextodsazen3"/>
        <w:ind w:firstLine="0"/>
        <w:rPr>
          <w:color w:val="000000" w:themeColor="text1"/>
          <w:szCs w:val="24"/>
        </w:rPr>
      </w:pPr>
    </w:p>
    <w:p w14:paraId="45A55F47" w14:textId="57A11226" w:rsidR="0047584B" w:rsidRPr="00363C56" w:rsidRDefault="0047584B" w:rsidP="00B33E8A">
      <w:pPr>
        <w:pStyle w:val="Nadpis2"/>
        <w:numPr>
          <w:ilvl w:val="0"/>
          <w:numId w:val="50"/>
        </w:numPr>
        <w:rPr>
          <w:rFonts w:ascii="Times New Roman" w:hAnsi="Times New Roman"/>
          <w:color w:val="000000" w:themeColor="text1"/>
          <w:sz w:val="24"/>
        </w:rPr>
      </w:pPr>
      <w:bookmarkStart w:id="21" w:name="_Toc524022258"/>
      <w:bookmarkEnd w:id="15"/>
      <w:bookmarkEnd w:id="16"/>
      <w:bookmarkEnd w:id="17"/>
      <w:bookmarkEnd w:id="18"/>
      <w:bookmarkEnd w:id="19"/>
      <w:bookmarkEnd w:id="20"/>
      <w:r w:rsidRPr="00363C56">
        <w:rPr>
          <w:rFonts w:ascii="Times New Roman" w:hAnsi="Times New Roman"/>
          <w:color w:val="000000" w:themeColor="text1"/>
          <w:sz w:val="24"/>
        </w:rPr>
        <w:t>Protipožární zabezpečení stavby</w:t>
      </w:r>
      <w:bookmarkEnd w:id="21"/>
    </w:p>
    <w:p w14:paraId="74450C2B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color w:val="000000" w:themeColor="text1"/>
        </w:rPr>
        <w:t xml:space="preserve">Při výstavbě, montáži, provozu a užívání stavby </w:t>
      </w:r>
      <w:r w:rsidR="006D7F56">
        <w:rPr>
          <w:color w:val="000000" w:themeColor="text1"/>
        </w:rPr>
        <w:t xml:space="preserve">byly </w:t>
      </w:r>
      <w:r w:rsidRPr="00363C56">
        <w:rPr>
          <w:color w:val="000000" w:themeColor="text1"/>
        </w:rPr>
        <w:t xml:space="preserve">respektovány platné předpisy, vyhlášky a normy ČSN k zajištění požární ochrany, které se týkají projektované stavby. Elektrické instalace </w:t>
      </w:r>
      <w:r w:rsidR="006D7F56">
        <w:rPr>
          <w:color w:val="000000" w:themeColor="text1"/>
        </w:rPr>
        <w:t>byly</w:t>
      </w:r>
      <w:r w:rsidRPr="00363C56">
        <w:rPr>
          <w:color w:val="000000" w:themeColor="text1"/>
        </w:rPr>
        <w:t xml:space="preserve"> provedeny z hlediska požární ochrany objektu v souladu s vyhláškou 137/1998,1999 “Obecné technické požadavky na výstavbu“ a souborem norem ČSN 33 2000-5-52 PO při výstavbě, montáži PO za provozu, užívání. A dále s ČSN 73 0802 Požární bezpečnost staveb – Nevýrobní objekty a vyhláškou č. 23/2008 </w:t>
      </w:r>
      <w:proofErr w:type="spellStart"/>
      <w:r w:rsidRPr="00363C56">
        <w:rPr>
          <w:color w:val="000000" w:themeColor="text1"/>
        </w:rPr>
        <w:t>Sb</w:t>
      </w:r>
      <w:proofErr w:type="spellEnd"/>
      <w:r w:rsidRPr="00363C56">
        <w:rPr>
          <w:color w:val="000000" w:themeColor="text1"/>
        </w:rPr>
        <w:t xml:space="preserve"> </w:t>
      </w:r>
      <w:r w:rsidRPr="00363C56">
        <w:rPr>
          <w:rFonts w:cs="Arial"/>
          <w:color w:val="000000" w:themeColor="text1"/>
          <w:szCs w:val="22"/>
        </w:rPr>
        <w:t xml:space="preserve">a vyhláškou č.268/2011Sb. </w:t>
      </w:r>
    </w:p>
    <w:p w14:paraId="17F0C49C" w14:textId="77777777" w:rsidR="0047584B" w:rsidRPr="00363C56" w:rsidRDefault="0047584B" w:rsidP="0047584B">
      <w:pPr>
        <w:pStyle w:val="Zkladntextodsazen"/>
        <w:jc w:val="both"/>
        <w:rPr>
          <w:color w:val="000000" w:themeColor="text1"/>
        </w:rPr>
      </w:pPr>
      <w:r w:rsidRPr="00363C56">
        <w:rPr>
          <w:color w:val="000000" w:themeColor="text1"/>
        </w:rPr>
        <w:t>Všichni uživatelé daného objektu musí svoje chování podřídit ustanovením zákona č.237/2000 Sb. “O požární ochraně“ a ustanovením “Zákoníku práce“ č.262/2006 Sb. a předpisům provozovatele.</w:t>
      </w:r>
    </w:p>
    <w:p w14:paraId="0AB3593C" w14:textId="77777777" w:rsidR="0047584B" w:rsidRPr="00363C56" w:rsidRDefault="0047584B" w:rsidP="000D30D9">
      <w:pPr>
        <w:pStyle w:val="Zkladntext"/>
        <w:ind w:firstLine="708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color w:val="000000" w:themeColor="text1"/>
          <w:sz w:val="24"/>
        </w:rPr>
        <w:t xml:space="preserve">Veškeré průchody mezi požárními úseky </w:t>
      </w:r>
      <w:r w:rsidR="00674E62">
        <w:rPr>
          <w:rFonts w:ascii="Times New Roman" w:hAnsi="Times New Roman"/>
          <w:color w:val="000000" w:themeColor="text1"/>
          <w:sz w:val="24"/>
        </w:rPr>
        <w:t xml:space="preserve">byly </w:t>
      </w:r>
      <w:r w:rsidRPr="00363C56">
        <w:rPr>
          <w:rFonts w:ascii="Times New Roman" w:hAnsi="Times New Roman"/>
          <w:color w:val="000000" w:themeColor="text1"/>
          <w:sz w:val="24"/>
        </w:rPr>
        <w:t>být opatřeny protipožárními ucpávkami s odolností vůči hoření 60 minut pro nadzemní části objektu, 180</w:t>
      </w:r>
      <w:r w:rsidR="00E61588">
        <w:rPr>
          <w:rFonts w:ascii="Times New Roman" w:hAnsi="Times New Roman"/>
          <w:color w:val="000000" w:themeColor="text1"/>
          <w:sz w:val="24"/>
        </w:rPr>
        <w:t xml:space="preserve"> 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minut pro podzemní části objektu! Trasy vedené přes CHÚC nebo shromažďovací prostory </w:t>
      </w:r>
      <w:r w:rsidR="00674E62">
        <w:rPr>
          <w:rFonts w:ascii="Times New Roman" w:hAnsi="Times New Roman"/>
          <w:color w:val="000000" w:themeColor="text1"/>
          <w:sz w:val="24"/>
        </w:rPr>
        <w:t>byly</w:t>
      </w:r>
      <w:r w:rsidRPr="00363C56">
        <w:rPr>
          <w:rFonts w:ascii="Times New Roman" w:hAnsi="Times New Roman"/>
          <w:color w:val="000000" w:themeColor="text1"/>
          <w:sz w:val="24"/>
        </w:rPr>
        <w:t xml:space="preserve"> protipožárně opatřeny či </w:t>
      </w:r>
      <w:r w:rsidR="00674E62">
        <w:rPr>
          <w:rFonts w:ascii="Times New Roman" w:hAnsi="Times New Roman"/>
          <w:color w:val="000000" w:themeColor="text1"/>
          <w:sz w:val="24"/>
        </w:rPr>
        <w:t xml:space="preserve">byly </w:t>
      </w:r>
      <w:r w:rsidRPr="00363C56">
        <w:rPr>
          <w:rFonts w:ascii="Times New Roman" w:hAnsi="Times New Roman"/>
          <w:color w:val="000000" w:themeColor="text1"/>
          <w:sz w:val="24"/>
        </w:rPr>
        <w:t>provedené takovým způsobem, aby splňovaly příslušné požární normy a předpisy včetně podmínek daných projektem požární ochrany pro tento objekt.</w:t>
      </w:r>
    </w:p>
    <w:p w14:paraId="1D730DFE" w14:textId="77777777" w:rsidR="0047584B" w:rsidRPr="00363C56" w:rsidRDefault="0047584B" w:rsidP="0047584B">
      <w:pPr>
        <w:pStyle w:val="Zkladntext"/>
        <w:rPr>
          <w:rFonts w:ascii="Times New Roman" w:hAnsi="Times New Roman"/>
          <w:color w:val="000000" w:themeColor="text1"/>
          <w:sz w:val="24"/>
        </w:rPr>
      </w:pPr>
    </w:p>
    <w:p w14:paraId="61EC8FC7" w14:textId="77777777" w:rsidR="0047584B" w:rsidRPr="00363C56" w:rsidRDefault="0047584B" w:rsidP="0047584B">
      <w:pPr>
        <w:pStyle w:val="Zkladntext"/>
        <w:rPr>
          <w:rFonts w:cs="Arial"/>
          <w:color w:val="000000" w:themeColor="text1"/>
          <w:szCs w:val="22"/>
        </w:rPr>
      </w:pPr>
    </w:p>
    <w:p w14:paraId="4B54C293" w14:textId="09BC0DDF" w:rsidR="0047584B" w:rsidRPr="00363C56" w:rsidRDefault="0047584B" w:rsidP="00B33E8A">
      <w:pPr>
        <w:pStyle w:val="Nadpis2"/>
        <w:numPr>
          <w:ilvl w:val="0"/>
          <w:numId w:val="50"/>
        </w:numPr>
        <w:rPr>
          <w:color w:val="000000" w:themeColor="text1"/>
        </w:rPr>
      </w:pPr>
      <w:bookmarkStart w:id="22" w:name="_Toc216156397"/>
      <w:bookmarkStart w:id="23" w:name="_Toc295732135"/>
      <w:bookmarkStart w:id="24" w:name="_Toc309486898"/>
      <w:bookmarkStart w:id="25" w:name="_Toc524022259"/>
      <w:r w:rsidRPr="00363C56">
        <w:rPr>
          <w:rFonts w:ascii="Times New Roman" w:hAnsi="Times New Roman"/>
          <w:color w:val="000000" w:themeColor="text1"/>
          <w:sz w:val="24"/>
        </w:rPr>
        <w:t>Bezpečnost práce a ochrana zdraví při práci</w:t>
      </w:r>
      <w:bookmarkEnd w:id="22"/>
      <w:bookmarkEnd w:id="23"/>
      <w:bookmarkEnd w:id="24"/>
      <w:bookmarkEnd w:id="25"/>
    </w:p>
    <w:p w14:paraId="0DB94FDB" w14:textId="77777777" w:rsidR="0047584B" w:rsidRPr="00363C56" w:rsidRDefault="0047584B" w:rsidP="0047584B">
      <w:pPr>
        <w:pStyle w:val="Zkladntext"/>
        <w:rPr>
          <w:color w:val="000000" w:themeColor="text1"/>
        </w:rPr>
      </w:pPr>
    </w:p>
    <w:p w14:paraId="19393EDB" w14:textId="77777777" w:rsidR="0047584B" w:rsidRPr="00EC2F0F" w:rsidRDefault="0047584B" w:rsidP="00B33E8A">
      <w:pPr>
        <w:pStyle w:val="Nadpis3"/>
        <w:numPr>
          <w:ilvl w:val="2"/>
          <w:numId w:val="50"/>
        </w:numPr>
        <w:rPr>
          <w:rStyle w:val="Hypertextovodkaz"/>
          <w:color w:val="auto"/>
          <w:u w:val="none"/>
        </w:rPr>
      </w:pPr>
      <w:bookmarkStart w:id="26" w:name="_Toc216156398"/>
      <w:bookmarkStart w:id="27" w:name="_Toc295732136"/>
      <w:bookmarkStart w:id="28" w:name="_Toc309486899"/>
      <w:bookmarkStart w:id="29" w:name="_Toc524022260"/>
      <w:r w:rsidRPr="00EC2F0F">
        <w:rPr>
          <w:rStyle w:val="Hypertextovodkaz"/>
          <w:color w:val="auto"/>
          <w:u w:val="none"/>
        </w:rPr>
        <w:t>Všeobecně</w:t>
      </w:r>
      <w:bookmarkEnd w:id="26"/>
      <w:bookmarkEnd w:id="27"/>
      <w:bookmarkEnd w:id="28"/>
      <w:bookmarkEnd w:id="29"/>
    </w:p>
    <w:p w14:paraId="442D172C" w14:textId="77777777" w:rsidR="00EC2F0F" w:rsidRDefault="0047584B" w:rsidP="00EC2F0F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 xml:space="preserve">Při montáži, provozu a užívání stavby </w:t>
      </w:r>
      <w:r w:rsidR="00674E62">
        <w:rPr>
          <w:rFonts w:cs="Arial"/>
          <w:color w:val="000000" w:themeColor="text1"/>
          <w:szCs w:val="22"/>
        </w:rPr>
        <w:t>byly</w:t>
      </w:r>
      <w:r w:rsidRPr="00363C56">
        <w:rPr>
          <w:rFonts w:cs="Arial"/>
          <w:color w:val="000000" w:themeColor="text1"/>
          <w:szCs w:val="22"/>
        </w:rPr>
        <w:t xml:space="preserve"> respektovány platné právní předpisy, vyhlášky a normy ČSN k zajištění bezpečnosti a ochrany zdraví při práci, které se týkají projektované stavby.</w:t>
      </w:r>
    </w:p>
    <w:p w14:paraId="10DED4FE" w14:textId="77777777" w:rsidR="0047584B" w:rsidRPr="00EC2F0F" w:rsidRDefault="0047584B" w:rsidP="00EC2F0F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t xml:space="preserve"> </w:t>
      </w:r>
    </w:p>
    <w:p w14:paraId="4F9DDE3A" w14:textId="77777777" w:rsidR="0047584B" w:rsidRPr="00363C56" w:rsidRDefault="0047584B" w:rsidP="00B33E8A">
      <w:pPr>
        <w:pStyle w:val="Nadpis3"/>
        <w:numPr>
          <w:ilvl w:val="2"/>
          <w:numId w:val="50"/>
        </w:numPr>
        <w:rPr>
          <w:rStyle w:val="Hypertextovodkaz"/>
          <w:color w:val="000000" w:themeColor="text1"/>
          <w:u w:val="none"/>
        </w:rPr>
      </w:pPr>
      <w:bookmarkStart w:id="30" w:name="_Toc216156399"/>
      <w:bookmarkStart w:id="31" w:name="_Toc295732137"/>
      <w:bookmarkStart w:id="32" w:name="_Toc309486900"/>
      <w:bookmarkStart w:id="33" w:name="_Toc524022261"/>
      <w:r w:rsidRPr="00363C56">
        <w:rPr>
          <w:rStyle w:val="Hypertextovodkaz"/>
          <w:color w:val="000000" w:themeColor="text1"/>
          <w:u w:val="none"/>
        </w:rPr>
        <w:lastRenderedPageBreak/>
        <w:t>Předpisy a normy</w:t>
      </w:r>
      <w:bookmarkEnd w:id="30"/>
      <w:bookmarkEnd w:id="31"/>
      <w:bookmarkEnd w:id="32"/>
      <w:bookmarkEnd w:id="33"/>
    </w:p>
    <w:p w14:paraId="76633B9F" w14:textId="77777777" w:rsidR="0047584B" w:rsidRPr="00363C56" w:rsidRDefault="0047584B" w:rsidP="000D30D9">
      <w:pPr>
        <w:pStyle w:val="Zkladntextodsazen"/>
        <w:jc w:val="both"/>
        <w:rPr>
          <w:rFonts w:cs="Arial"/>
          <w:color w:val="000000" w:themeColor="text1"/>
          <w:szCs w:val="22"/>
        </w:rPr>
      </w:pPr>
      <w:bookmarkStart w:id="34" w:name="_Toc216156400"/>
      <w:r w:rsidRPr="00363C56">
        <w:rPr>
          <w:rFonts w:cs="Arial"/>
          <w:color w:val="000000" w:themeColor="text1"/>
          <w:szCs w:val="22"/>
        </w:rPr>
        <w:t>Projekt je zpracován dle následujících právních předpisů a vyhlášek, a v souladu s kterými je nutné realizovat i následují stavbu:</w:t>
      </w:r>
    </w:p>
    <w:p w14:paraId="57F339D2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 xml:space="preserve">- Vyhláška ČÚBP a ČBÚ č.50/1978 o odborné způsobilosti v elektrotechnice v platném znění. </w:t>
      </w:r>
    </w:p>
    <w:p w14:paraId="28FE1F42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Vyhláška ČÚBP č.48/1982 Sb., kterou se stanoví základní požadavky k zajištění bezpečnosti práce technických zařízení v platném znění.</w:t>
      </w:r>
    </w:p>
    <w:p w14:paraId="3801E505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 xml:space="preserve">- Zákon č. 309/2006 Sb. „O zajištění dalších podmínek bezpečnosti a ochrany zdraví při práci“ v platném znění.  </w:t>
      </w:r>
    </w:p>
    <w:p w14:paraId="3BBBB394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Zákon č.262/2006 Sb. „Zákoník práce“ v platném znění.</w:t>
      </w:r>
    </w:p>
    <w:p w14:paraId="2AE50889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Vyhláška ČÚBP a ČBÚ č.73/2010 Sb., kterou se určují vyhrazená el.</w:t>
      </w:r>
      <w:r w:rsidR="00872A99">
        <w:rPr>
          <w:rFonts w:cs="Arial"/>
          <w:color w:val="000000" w:themeColor="text1"/>
          <w:szCs w:val="22"/>
        </w:rPr>
        <w:t xml:space="preserve"> </w:t>
      </w:r>
      <w:r w:rsidRPr="00363C56">
        <w:rPr>
          <w:rFonts w:cs="Arial"/>
          <w:color w:val="000000" w:themeColor="text1"/>
          <w:szCs w:val="22"/>
        </w:rPr>
        <w:t xml:space="preserve">zařízení a stanoví některé podmínky k zajištění jejich bezpečnosti v platném znění. </w:t>
      </w:r>
    </w:p>
    <w:p w14:paraId="2F854C75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Nařízení vlády č.361/2007 Sb., kterým se stanoví podmínky ochrany zdraví zaměstnanců při práci.</w:t>
      </w:r>
    </w:p>
    <w:p w14:paraId="27D2F26E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Nařízení vlády č.201/2010 Sb., kterým se stanoví způsob evidence, hlášení a zasílání záznamu o úrazu.</w:t>
      </w:r>
    </w:p>
    <w:p w14:paraId="62AB3C34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Nařízení vlády č.272/2011 Sb. “O ochraně zdraví před nepříznivými účinky hluku a vibrací“ v platném znění.</w:t>
      </w:r>
    </w:p>
    <w:p w14:paraId="5E31735A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Dále realizace musí být v souladu s nařízením vlády č.378/2001 Sb., včetně zpracování provozních, havarijních a manipulačních řádů, místních bezpečnostních předpisů atp.</w:t>
      </w:r>
    </w:p>
    <w:p w14:paraId="2A232315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ČSN EN 50110-1 ed.2 “Bezpečnostní předpisy pro obsluhu a práci na elektrických zařízeních“</w:t>
      </w:r>
    </w:p>
    <w:p w14:paraId="210598E0" w14:textId="77777777" w:rsidR="0047584B" w:rsidRPr="00363C56" w:rsidRDefault="0047584B" w:rsidP="0047584B">
      <w:pPr>
        <w:pStyle w:val="Zkladntextodsazen"/>
        <w:ind w:firstLine="0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- BOZP dodavatele</w:t>
      </w:r>
    </w:p>
    <w:p w14:paraId="6EC67E59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61082-1 ed.2 - Zhotovování dokumentů v elektrotechnice</w:t>
      </w:r>
    </w:p>
    <w:p w14:paraId="4FEA0648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0010 Elektrická zařízení. Rozdělení a pojmy.</w:t>
      </w:r>
    </w:p>
    <w:p w14:paraId="5FFFCC00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60059 – Normalizované hodnoty proudů IEC</w:t>
      </w:r>
    </w:p>
    <w:p w14:paraId="7341FFA7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EN 60446 ed.2  – Základní bezpečnostní zásady při obsluze strojních zařízení – Značení vodičů barvami nebo číslicemi</w:t>
      </w:r>
    </w:p>
    <w:p w14:paraId="45F999D6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60529 – Stupně ochrany krytem</w:t>
      </w:r>
    </w:p>
    <w:p w14:paraId="138F7D70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0340 – Elektrotechnické předpisy. Ochranné kryty elektrických zařízení a předmětů</w:t>
      </w:r>
    </w:p>
    <w:p w14:paraId="02CBEB3D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0360 – Elektrotechnické předpisy. Místa připojení ochranných vodičů. Technické požadavky.</w:t>
      </w:r>
    </w:p>
    <w:p w14:paraId="640C2374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1310 ed.2 Elektrotechnické předpisy. Bezpečnostní předpisy pro elektrická zařízení určená k užívání osobami bez elektrotechnické kvalifikace</w:t>
      </w:r>
    </w:p>
    <w:p w14:paraId="40B8FDFF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1500 – Elektrotechnické předpisy. Revize elektrických zařízení</w:t>
      </w:r>
    </w:p>
    <w:p w14:paraId="13F4FCDA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2000-3 Elektrotechnické předpisy. Elektrická zařízení. Část 3 : Stanovení základních charakteristik</w:t>
      </w:r>
    </w:p>
    <w:p w14:paraId="3894E92C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2000-4-41 ed.2 – Elektrické instalace nízkého napětí – Část 4-41 : Ochranné opatření pro zajištění bezpečnosti –  Ochrana před úrazem elektrickým proudem</w:t>
      </w:r>
    </w:p>
    <w:p w14:paraId="43C21CBE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- ČSN 33 2000-4-43 ed.2 Elektrické instlace nízkého napětí  – Část 4-43 : Bezpečnost – Ochrana před nadproudy </w:t>
      </w:r>
    </w:p>
    <w:p w14:paraId="08D5841C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- ČSN 33 2000-4-473 ed.2 Opr.1 – Elektrotechnické předpisy – Elektrická zařízení – Část 4 : Bezpečnost – Kapitola 47 :  Použití ochranných opatření pro zajištění bezpečnosti. Oddíl 473: Opatření k ochraně proti nadproudům </w:t>
      </w:r>
    </w:p>
    <w:p w14:paraId="0239ECE9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2000-5-523 ed.2 – Elektrické instalace budov – Část 5:  Výběr  a stavba elektrických zařízení – Oddíl 523 : Dovolené proudy v elektrických rozvodech</w:t>
      </w:r>
    </w:p>
    <w:p w14:paraId="034245BE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2000-6 – Elektrické instalace budov Část 6 :  Revize</w:t>
      </w:r>
    </w:p>
    <w:p w14:paraId="207A4C1D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- ČSN 33 2000-7-701 ed.2 – Elektrotechnické předpisy - Elektrická zařízení - Část 7: Zařízení jednoúčelová a ve zvláštních objektech - Oddíl 701: Prostory s vanou nebo sprchou a umývací prostory </w:t>
      </w:r>
    </w:p>
    <w:p w14:paraId="0EC6C6F4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2030 – Elektrostatika – Směrnice pro vyloučení nebezpečí od statické elektřiny</w:t>
      </w:r>
    </w:p>
    <w:p w14:paraId="7ACB4957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2180 – Elektrotechnické předpisy ČSN. Připojování elektrických přístrojů a spotřebičů</w:t>
      </w:r>
    </w:p>
    <w:p w14:paraId="63C9927A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lastRenderedPageBreak/>
        <w:t>- ČSN 33 2190 – Elektrotechnické předpisy. Připojování elektrických strojů a pohonů s elektromotory</w:t>
      </w:r>
    </w:p>
    <w:p w14:paraId="47054689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2312 – Elektrotechnické předpisy. Elektrické zařízení v hořlavých látkách a na nich</w:t>
      </w:r>
    </w:p>
    <w:p w14:paraId="306FC50C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3210 – Elektrotechnické předpisy. Rozvodná zařízení. Společná ustanovení.</w:t>
      </w:r>
    </w:p>
    <w:p w14:paraId="4AE71794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33 3320 – Elektrotechnické předpisy. Elektrické přípojky</w:t>
      </w:r>
    </w:p>
    <w:p w14:paraId="1E8067C7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62305-1až4 – Ochrana před bleskem – v platné edici.</w:t>
      </w:r>
    </w:p>
    <w:p w14:paraId="3F19FD0F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34 1610 – Elektrotechnické předpisy ČSN. Elektrický silnoproudý rozvod v průmyslových provozovnách</w:t>
      </w:r>
    </w:p>
    <w:p w14:paraId="630DF207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50 110-1 ed.2 – Obsluha a práce na elektrických zařízeních.</w:t>
      </w:r>
    </w:p>
    <w:p w14:paraId="290ADE9F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12 464-1 Světlo a osvětlení - Osvětlení pracovních prostorů - Část 1: Vnitřní pracovní prostory</w:t>
      </w:r>
    </w:p>
    <w:p w14:paraId="210B38B4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EN 1838 – Světlo a osvětlení – Nouzové osvětlení.</w:t>
      </w:r>
    </w:p>
    <w:p w14:paraId="468B1B0C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73 0802 – Požární bezpečnost staveb – Nevýrobní objekty</w:t>
      </w:r>
    </w:p>
    <w:p w14:paraId="6199640A" w14:textId="77777777" w:rsidR="0047584B" w:rsidRPr="00363C56" w:rsidRDefault="0047584B" w:rsidP="0047584B">
      <w:pPr>
        <w:pStyle w:val="Zkladntext"/>
        <w:rPr>
          <w:rFonts w:ascii="Times New Roman" w:hAnsi="Times New Roman"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- ČSN 73 0831 – Požární bezpečnost staveb – Shromažďovací prostory </w:t>
      </w:r>
    </w:p>
    <w:p w14:paraId="549FB4D0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Údržba bude zajištěna běžným způsobem. </w:t>
      </w:r>
    </w:p>
    <w:p w14:paraId="0DE87FF5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</w:p>
    <w:p w14:paraId="2B819F2A" w14:textId="77777777" w:rsidR="0047584B" w:rsidRPr="00363C56" w:rsidRDefault="0047584B" w:rsidP="0047584B">
      <w:pPr>
        <w:pStyle w:val="Zkladntext"/>
        <w:rPr>
          <w:rFonts w:cs="Arial"/>
          <w:color w:val="000000" w:themeColor="text1"/>
          <w:szCs w:val="22"/>
        </w:rPr>
      </w:pPr>
    </w:p>
    <w:p w14:paraId="26C3DAD6" w14:textId="77777777" w:rsidR="0047584B" w:rsidRPr="00EC2F0F" w:rsidRDefault="0047584B" w:rsidP="00B33E8A">
      <w:pPr>
        <w:pStyle w:val="Nadpis3"/>
        <w:numPr>
          <w:ilvl w:val="2"/>
          <w:numId w:val="50"/>
        </w:numPr>
        <w:rPr>
          <w:rStyle w:val="Hypertextovodkaz"/>
          <w:color w:val="auto"/>
          <w:u w:val="none"/>
        </w:rPr>
      </w:pPr>
      <w:bookmarkStart w:id="35" w:name="_Toc295732138"/>
      <w:bookmarkStart w:id="36" w:name="_Toc309486901"/>
      <w:bookmarkStart w:id="37" w:name="_Toc524022262"/>
      <w:r w:rsidRPr="00EC2F0F">
        <w:rPr>
          <w:rStyle w:val="Hypertextovodkaz"/>
          <w:color w:val="auto"/>
          <w:u w:val="none"/>
        </w:rPr>
        <w:t>BOZP při montáži</w:t>
      </w:r>
      <w:bookmarkEnd w:id="34"/>
      <w:bookmarkEnd w:id="35"/>
      <w:bookmarkEnd w:id="36"/>
      <w:bookmarkEnd w:id="37"/>
    </w:p>
    <w:p w14:paraId="42AF0FA5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Projekt je zpracován v souladu s obecnými předpisy o bezpečnosti práce, na které se odvolává, a kmenovou normou (nebo normami) dotčeného oboru činnosti.</w:t>
      </w:r>
    </w:p>
    <w:p w14:paraId="50F806DB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 xml:space="preserve">Pro montáž </w:t>
      </w:r>
      <w:r w:rsidR="00BF0428">
        <w:rPr>
          <w:rFonts w:cs="Arial"/>
          <w:color w:val="000000" w:themeColor="text1"/>
          <w:szCs w:val="22"/>
        </w:rPr>
        <w:t xml:space="preserve">byla </w:t>
      </w:r>
      <w:r w:rsidRPr="00363C56">
        <w:rPr>
          <w:rFonts w:cs="Arial"/>
          <w:color w:val="000000" w:themeColor="text1"/>
          <w:szCs w:val="22"/>
        </w:rPr>
        <w:t>zpracována technologie postupu montáže, kterou zprac</w:t>
      </w:r>
      <w:r w:rsidR="00BF0428">
        <w:rPr>
          <w:rFonts w:cs="Arial"/>
          <w:color w:val="000000" w:themeColor="text1"/>
          <w:szCs w:val="22"/>
        </w:rPr>
        <w:t>ovala</w:t>
      </w:r>
      <w:r w:rsidRPr="00363C56">
        <w:rPr>
          <w:rFonts w:cs="Arial"/>
          <w:color w:val="000000" w:themeColor="text1"/>
          <w:szCs w:val="22"/>
        </w:rPr>
        <w:t xml:space="preserve"> dodavatelská organizace. Tato technologie musí obsahovat a respektovat všechny platné bezpečnostní předpisy pro daný obor činnosti.</w:t>
      </w:r>
    </w:p>
    <w:p w14:paraId="562BD833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Při montážích je třeba používat všechny předepsané ochranné pomůcky, dodržovat bezpečnostní předpisy ministerstva zdravotnictví o hygienických požadavcích na pracovní prostředí.</w:t>
      </w:r>
    </w:p>
    <w:p w14:paraId="6B11F1CB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  <w:r w:rsidRPr="00363C56">
        <w:rPr>
          <w:rFonts w:cs="Arial"/>
          <w:color w:val="000000" w:themeColor="text1"/>
          <w:szCs w:val="22"/>
        </w:rPr>
        <w:t>Pracovníci musí být s předpisy k zajištění bezpečnosti práce prokazatelně seznámeni alespoň v rozsahu potřebném pro provádění práce.</w:t>
      </w:r>
    </w:p>
    <w:p w14:paraId="2A75EDB6" w14:textId="77777777" w:rsidR="0047584B" w:rsidRPr="00363C56" w:rsidRDefault="0047584B" w:rsidP="0047584B">
      <w:pPr>
        <w:pStyle w:val="Zkladntext"/>
        <w:ind w:firstLine="708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Během výstavby je třeba dodržovat všeobecné zásady bezpečnosti práce. Před  uvedením zařízení do trvalého do provozu musí být provedena montážní firmou výchozí revize el. zařízení a vydána revizní zpráva. Dále bude zařízení periodicky revidováno v předepsaných intervalech. V provozu musí být dodržovány elektrotechnické předpisy pro obsluhu, práci a manipulaci s el. zařízením. </w:t>
      </w:r>
    </w:p>
    <w:p w14:paraId="092D276D" w14:textId="77777777" w:rsidR="0047584B" w:rsidRPr="00363C56" w:rsidRDefault="0047584B" w:rsidP="0047584B">
      <w:pPr>
        <w:rPr>
          <w:color w:val="000000" w:themeColor="text1"/>
        </w:rPr>
      </w:pPr>
    </w:p>
    <w:p w14:paraId="244E3EF1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Při provádění </w:t>
      </w:r>
      <w:r w:rsidR="00674E62">
        <w:rPr>
          <w:rFonts w:ascii="Times New Roman" w:hAnsi="Times New Roman"/>
          <w:noProof/>
          <w:color w:val="000000" w:themeColor="text1"/>
          <w:sz w:val="24"/>
        </w:rPr>
        <w:t xml:space="preserve">byly 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>dodržován</w:t>
      </w:r>
      <w:r w:rsidR="00674E62">
        <w:rPr>
          <w:rFonts w:ascii="Times New Roman" w:hAnsi="Times New Roman"/>
          <w:noProof/>
          <w:color w:val="000000" w:themeColor="text1"/>
          <w:sz w:val="24"/>
        </w:rPr>
        <w:t>y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 především příslušná  ustanovení následujících norem :</w:t>
      </w:r>
    </w:p>
    <w:p w14:paraId="68D15BD2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50 110-1 ed.2  - Obsluha a práce na el. zařízeních (z 7/2005)</w:t>
      </w:r>
    </w:p>
    <w:p w14:paraId="42BC70F0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ČSN 50 110-2 ed.2  - Obsluha a práce na el. zařízeních (z 7/2005)-národní dododatek</w:t>
      </w:r>
    </w:p>
    <w:p w14:paraId="5245855F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Vyhláška ČÚBP č.48/82 Sb.</w:t>
      </w:r>
    </w:p>
    <w:p w14:paraId="501A73B7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>- BOZP dodavatele</w:t>
      </w:r>
    </w:p>
    <w:p w14:paraId="21D60408" w14:textId="77777777" w:rsidR="0047584B" w:rsidRPr="00363C56" w:rsidRDefault="0047584B" w:rsidP="0047584B">
      <w:pPr>
        <w:pStyle w:val="Zkladntext"/>
        <w:rPr>
          <w:rFonts w:ascii="Times New Roman" w:hAnsi="Times New Roman"/>
          <w:noProof/>
          <w:color w:val="000000" w:themeColor="text1"/>
          <w:sz w:val="24"/>
        </w:rPr>
      </w:pPr>
    </w:p>
    <w:p w14:paraId="2A656480" w14:textId="77777777" w:rsidR="0047584B" w:rsidRPr="00363C56" w:rsidRDefault="0047584B" w:rsidP="0047584B">
      <w:pPr>
        <w:pStyle w:val="Zkladntextodsazen"/>
        <w:jc w:val="both"/>
        <w:rPr>
          <w:rFonts w:cs="Arial"/>
          <w:color w:val="000000" w:themeColor="text1"/>
          <w:szCs w:val="22"/>
        </w:rPr>
      </w:pPr>
    </w:p>
    <w:p w14:paraId="0ECD41D1" w14:textId="1A9B398F" w:rsidR="0047584B" w:rsidRPr="00EC2F0F" w:rsidRDefault="0047584B" w:rsidP="00B33E8A">
      <w:pPr>
        <w:pStyle w:val="Nadpis3"/>
        <w:numPr>
          <w:ilvl w:val="0"/>
          <w:numId w:val="50"/>
        </w:numPr>
        <w:rPr>
          <w:rStyle w:val="Hypertextovodkaz"/>
          <w:color w:val="auto"/>
          <w:u w:val="none"/>
        </w:rPr>
      </w:pPr>
      <w:bookmarkStart w:id="38" w:name="_Toc347687126"/>
      <w:bookmarkStart w:id="39" w:name="_Toc524022263"/>
      <w:r w:rsidRPr="00EC2F0F">
        <w:rPr>
          <w:rStyle w:val="Hypertextovodkaz"/>
          <w:color w:val="auto"/>
          <w:u w:val="none"/>
        </w:rPr>
        <w:t>Výstražné tabulky a nápisy</w:t>
      </w:r>
      <w:bookmarkEnd w:id="38"/>
      <w:bookmarkEnd w:id="39"/>
      <w:r w:rsidRPr="00EC2F0F">
        <w:rPr>
          <w:rStyle w:val="Hypertextovodkaz"/>
          <w:color w:val="auto"/>
          <w:u w:val="none"/>
        </w:rPr>
        <w:t xml:space="preserve"> </w:t>
      </w:r>
    </w:p>
    <w:p w14:paraId="7362B50E" w14:textId="77777777" w:rsidR="0047584B" w:rsidRPr="00363C56" w:rsidRDefault="0047584B" w:rsidP="000D30D9">
      <w:pPr>
        <w:pStyle w:val="Zkladntext"/>
        <w:ind w:firstLine="708"/>
        <w:rPr>
          <w:rFonts w:ascii="Times New Roman" w:hAnsi="Times New Roman"/>
          <w:noProof/>
          <w:color w:val="000000" w:themeColor="text1"/>
          <w:sz w:val="24"/>
        </w:rPr>
      </w:pP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Elektrická zařízení, popřípadě elektrické předměty, </w:t>
      </w:r>
      <w:r w:rsidR="00674E62">
        <w:rPr>
          <w:rFonts w:ascii="Times New Roman" w:hAnsi="Times New Roman"/>
          <w:noProof/>
          <w:color w:val="000000" w:themeColor="text1"/>
          <w:sz w:val="24"/>
        </w:rPr>
        <w:t>byly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 před uvedením do provozu vybaveny bezpečnostními tabulkami a nápisy předepsanými pro tato zařízení příslušnými zařizovacími, nebo předmětovými normami. </w:t>
      </w:r>
    </w:p>
    <w:p w14:paraId="2CC8DAE4" w14:textId="77777777" w:rsidR="0047584B" w:rsidRPr="00363C56" w:rsidRDefault="0047584B" w:rsidP="0047584B">
      <w:pPr>
        <w:rPr>
          <w:color w:val="000000" w:themeColor="text1"/>
        </w:rPr>
      </w:pPr>
    </w:p>
    <w:p w14:paraId="30821999" w14:textId="77777777" w:rsidR="0047584B" w:rsidRPr="00363C56" w:rsidRDefault="0047584B" w:rsidP="0047584B">
      <w:pPr>
        <w:pStyle w:val="Zkladntext"/>
        <w:rPr>
          <w:rFonts w:cs="Arial"/>
          <w:color w:val="000000" w:themeColor="text1"/>
          <w:szCs w:val="22"/>
        </w:rPr>
      </w:pPr>
    </w:p>
    <w:p w14:paraId="0A1CC1FA" w14:textId="2B4396E5" w:rsidR="0047584B" w:rsidRPr="00363C56" w:rsidRDefault="0047584B" w:rsidP="00B33E8A">
      <w:pPr>
        <w:pStyle w:val="Nadpis2"/>
        <w:numPr>
          <w:ilvl w:val="0"/>
          <w:numId w:val="50"/>
        </w:numPr>
        <w:rPr>
          <w:color w:val="000000" w:themeColor="text1"/>
        </w:rPr>
      </w:pPr>
      <w:bookmarkStart w:id="40" w:name="_Toc524022264"/>
      <w:r w:rsidRPr="00363C56">
        <w:rPr>
          <w:rFonts w:ascii="Times New Roman" w:hAnsi="Times New Roman"/>
          <w:color w:val="000000" w:themeColor="text1"/>
          <w:sz w:val="24"/>
        </w:rPr>
        <w:lastRenderedPageBreak/>
        <w:t>Závěr</w:t>
      </w:r>
      <w:bookmarkEnd w:id="40"/>
    </w:p>
    <w:p w14:paraId="0C4A3A90" w14:textId="77777777" w:rsidR="00BF0428" w:rsidRPr="00B34416" w:rsidRDefault="0047584B" w:rsidP="000D30D9">
      <w:pPr>
        <w:pStyle w:val="Zkladntext"/>
        <w:ind w:firstLine="708"/>
        <w:rPr>
          <w:rFonts w:ascii="Times New Roman" w:hAnsi="Times New Roman" w:cs="Arial"/>
          <w:color w:val="000000"/>
          <w:sz w:val="24"/>
          <w:szCs w:val="22"/>
        </w:rPr>
      </w:pP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>Projekt vychází z</w:t>
      </w:r>
      <w:r w:rsidR="00B763F2">
        <w:rPr>
          <w:rFonts w:ascii="Times New Roman" w:hAnsi="Times New Roman" w:cs="Arial"/>
          <w:color w:val="000000" w:themeColor="text1"/>
          <w:sz w:val="24"/>
          <w:szCs w:val="22"/>
        </w:rPr>
        <w:t xml:space="preserve"> požadavků nájemce </w:t>
      </w: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a ze znalostí získaných na kontrolních dnech, s konzultací s HIP akce a s koordinací </w:t>
      </w:r>
      <w:r w:rsidR="006D7F56">
        <w:rPr>
          <w:rFonts w:ascii="Times New Roman" w:hAnsi="Times New Roman" w:cs="Arial"/>
          <w:color w:val="000000" w:themeColor="text1"/>
          <w:sz w:val="24"/>
          <w:szCs w:val="22"/>
        </w:rPr>
        <w:t xml:space="preserve">s </w:t>
      </w:r>
      <w:r w:rsidR="00BF0428"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ostatními </w:t>
      </w:r>
      <w:r w:rsidR="00BF0428" w:rsidRPr="00B34416">
        <w:rPr>
          <w:rFonts w:ascii="Times New Roman" w:hAnsi="Times New Roman" w:cs="Arial"/>
          <w:color w:val="000000"/>
          <w:sz w:val="24"/>
          <w:szCs w:val="22"/>
        </w:rPr>
        <w:t xml:space="preserve">technologickými profesemi zúčastněných na realizaci stavby. </w:t>
      </w:r>
    </w:p>
    <w:p w14:paraId="16B55645" w14:textId="77777777" w:rsidR="0047584B" w:rsidRPr="00363C56" w:rsidRDefault="0047584B" w:rsidP="000D30D9">
      <w:pPr>
        <w:pStyle w:val="Zkladntext"/>
        <w:ind w:firstLine="708"/>
        <w:rPr>
          <w:rFonts w:ascii="Times New Roman" w:hAnsi="Times New Roman" w:cs="Arial"/>
          <w:color w:val="000000" w:themeColor="text1"/>
          <w:sz w:val="24"/>
          <w:szCs w:val="22"/>
        </w:rPr>
      </w:pP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Celá elektroinstalace </w:t>
      </w:r>
      <w:r w:rsidR="00BF0428">
        <w:rPr>
          <w:rFonts w:ascii="Times New Roman" w:hAnsi="Times New Roman" w:cs="Arial"/>
          <w:color w:val="000000" w:themeColor="text1"/>
          <w:sz w:val="24"/>
          <w:szCs w:val="22"/>
        </w:rPr>
        <w:t>byl</w:t>
      </w:r>
      <w:r w:rsidR="006D7F56">
        <w:rPr>
          <w:rFonts w:ascii="Times New Roman" w:hAnsi="Times New Roman" w:cs="Arial"/>
          <w:color w:val="000000" w:themeColor="text1"/>
          <w:sz w:val="24"/>
          <w:szCs w:val="22"/>
        </w:rPr>
        <w:t>a</w:t>
      </w: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 provedena v souladu s normami ČSN a požadavky bezpečnostních, požárních, ekologických a hygienických předpisů, rovněž při montáži </w:t>
      </w:r>
      <w:r w:rsidR="00BF0428">
        <w:rPr>
          <w:rFonts w:ascii="Times New Roman" w:hAnsi="Times New Roman" w:cs="Arial"/>
          <w:color w:val="000000" w:themeColor="text1"/>
          <w:sz w:val="24"/>
          <w:szCs w:val="22"/>
        </w:rPr>
        <w:t xml:space="preserve">byly </w:t>
      </w: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>respektov</w:t>
      </w:r>
      <w:r w:rsidR="00BF0428">
        <w:rPr>
          <w:rFonts w:ascii="Times New Roman" w:hAnsi="Times New Roman" w:cs="Arial"/>
          <w:color w:val="000000" w:themeColor="text1"/>
          <w:sz w:val="24"/>
          <w:szCs w:val="22"/>
        </w:rPr>
        <w:t>ány</w:t>
      </w: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 tyto normy, vyhlášky a předpisy.</w:t>
      </w:r>
    </w:p>
    <w:p w14:paraId="45BB5222" w14:textId="77777777" w:rsidR="0047584B" w:rsidRPr="00363C56" w:rsidRDefault="0047584B" w:rsidP="000D30D9">
      <w:pPr>
        <w:pStyle w:val="Zkladntext"/>
        <w:ind w:firstLine="708"/>
        <w:rPr>
          <w:rFonts w:ascii="Times New Roman" w:hAnsi="Times New Roman" w:cs="Arial"/>
          <w:color w:val="000000" w:themeColor="text1"/>
          <w:sz w:val="24"/>
          <w:szCs w:val="22"/>
        </w:rPr>
      </w:pP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Práce na elektrickém zařízení a montáž podle tohoto projektu smí provádět pouze pracovníci s příslušnou elektrotechnickou kvalifikací pro danou činnost podle normy 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- ČSN </w:t>
      </w:r>
      <w:r w:rsidR="00611A70" w:rsidRPr="00363C56">
        <w:rPr>
          <w:rFonts w:ascii="Times New Roman" w:hAnsi="Times New Roman"/>
          <w:noProof/>
          <w:color w:val="000000" w:themeColor="text1"/>
          <w:sz w:val="24"/>
        </w:rPr>
        <w:t xml:space="preserve">EN 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50 110-1 ed.2 </w:t>
      </w:r>
      <w:r w:rsidR="00611A70" w:rsidRPr="00363C56">
        <w:rPr>
          <w:rFonts w:ascii="Times New Roman" w:hAnsi="Times New Roman"/>
          <w:noProof/>
          <w:color w:val="000000" w:themeColor="text1"/>
          <w:sz w:val="24"/>
        </w:rPr>
        <w:t xml:space="preserve">a </w:t>
      </w:r>
      <w:r w:rsidRPr="00363C56">
        <w:rPr>
          <w:rFonts w:ascii="Times New Roman" w:hAnsi="Times New Roman"/>
          <w:noProof/>
          <w:color w:val="000000" w:themeColor="text1"/>
          <w:sz w:val="24"/>
        </w:rPr>
        <w:t xml:space="preserve"> </w:t>
      </w:r>
      <w:r w:rsidR="00611A70" w:rsidRPr="00363C56">
        <w:rPr>
          <w:rFonts w:ascii="Times New Roman" w:hAnsi="Times New Roman"/>
          <w:noProof/>
          <w:color w:val="000000" w:themeColor="text1"/>
          <w:sz w:val="24"/>
        </w:rPr>
        <w:t xml:space="preserve">ČSN EN 50 110-2 </w:t>
      </w:r>
      <w:r w:rsidRPr="00363C56">
        <w:rPr>
          <w:rFonts w:ascii="Times New Roman" w:hAnsi="Times New Roman" w:cs="Arial"/>
          <w:color w:val="000000" w:themeColor="text1"/>
          <w:sz w:val="24"/>
          <w:szCs w:val="22"/>
        </w:rPr>
        <w:t xml:space="preserve">a přidružených norem. Tyto normy musí být dodrženy i z hlediska bezpečnosti práce. </w:t>
      </w:r>
    </w:p>
    <w:p w14:paraId="3E4ABD9D" w14:textId="77777777" w:rsidR="0047584B" w:rsidRPr="00363C56" w:rsidRDefault="0047584B" w:rsidP="000D30D9">
      <w:pPr>
        <w:ind w:firstLine="708"/>
        <w:jc w:val="both"/>
        <w:rPr>
          <w:rFonts w:ascii="Times New Roman" w:hAnsi="Times New Roman" w:cs="Arial"/>
          <w:noProof w:val="0"/>
          <w:color w:val="000000" w:themeColor="text1"/>
          <w:sz w:val="24"/>
          <w:szCs w:val="22"/>
        </w:rPr>
      </w:pPr>
      <w:r w:rsidRPr="00363C56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 xml:space="preserve">Dodavatel musí po úplném dokončení montážních prací přezkoušet el. zařízení a zajistit výchozí revizi. Ve zprávě o výchozí revizi musí být uvedeno zda je el. zařízení schopno bezpečného a spolehlivého provozu. Součástí zprávy o výchozí revizi </w:t>
      </w:r>
      <w:r w:rsidR="006973DD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>je i</w:t>
      </w:r>
      <w:r w:rsidRPr="00363C56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 xml:space="preserve"> projektová dokumentace skutečného stavu, ve které </w:t>
      </w:r>
      <w:r w:rsidR="006973DD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 xml:space="preserve">jsou </w:t>
      </w:r>
      <w:r w:rsidRPr="00363C56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>dodavatelem zaneseny veškeré změny vůči projektu pro provedení stavby.</w:t>
      </w:r>
    </w:p>
    <w:p w14:paraId="54591304" w14:textId="77777777" w:rsidR="0047584B" w:rsidRPr="00363C56" w:rsidRDefault="0047584B" w:rsidP="0047584B">
      <w:pPr>
        <w:jc w:val="both"/>
        <w:rPr>
          <w:rFonts w:ascii="Times New Roman" w:hAnsi="Times New Roman" w:cs="Arial"/>
          <w:noProof w:val="0"/>
          <w:color w:val="000000" w:themeColor="text1"/>
          <w:sz w:val="24"/>
          <w:szCs w:val="22"/>
        </w:rPr>
      </w:pPr>
    </w:p>
    <w:p w14:paraId="783B5844" w14:textId="77777777" w:rsidR="0047584B" w:rsidRPr="000D30D9" w:rsidRDefault="006973DD" w:rsidP="0047584B">
      <w:pPr>
        <w:jc w:val="both"/>
        <w:rPr>
          <w:rFonts w:ascii="Times New Roman" w:hAnsi="Times New Roman" w:cs="Arial"/>
          <w:noProof w:val="0"/>
          <w:color w:val="000000" w:themeColor="text1"/>
          <w:sz w:val="24"/>
          <w:szCs w:val="22"/>
        </w:rPr>
      </w:pPr>
      <w:r w:rsidRPr="00363C56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 xml:space="preserve">Veškeré citované zákony, vyhlášky a ČSN jsou uvažovány v platném znění k datu vydání </w:t>
      </w:r>
      <w:r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>D</w:t>
      </w:r>
      <w:r w:rsidR="00A97944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>SP</w:t>
      </w:r>
      <w:r w:rsidRPr="00363C56">
        <w:rPr>
          <w:rFonts w:ascii="Times New Roman" w:hAnsi="Times New Roman" w:cs="Arial"/>
          <w:noProof w:val="0"/>
          <w:color w:val="000000" w:themeColor="text1"/>
          <w:sz w:val="24"/>
          <w:szCs w:val="22"/>
        </w:rPr>
        <w:t>.</w:t>
      </w:r>
      <w:bookmarkEnd w:id="0"/>
      <w:bookmarkEnd w:id="1"/>
      <w:bookmarkEnd w:id="2"/>
      <w:bookmarkEnd w:id="3"/>
    </w:p>
    <w:sectPr w:rsidR="0047584B" w:rsidRPr="000D30D9" w:rsidSect="00536FDD">
      <w:headerReference w:type="default" r:id="rId7"/>
      <w:footerReference w:type="default" r:id="rId8"/>
      <w:pgSz w:w="11906" w:h="16838" w:code="9"/>
      <w:pgMar w:top="1531" w:right="991" w:bottom="993" w:left="1531" w:header="709" w:footer="567" w:gutter="0"/>
      <w:pgNumType w:start="1"/>
      <w:cols w:space="708" w:equalWidth="0">
        <w:col w:w="9185" w:space="709"/>
      </w:cols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249A" w14:textId="77777777" w:rsidR="00916B86" w:rsidRDefault="00916B86" w:rsidP="0047584B">
      <w:r>
        <w:separator/>
      </w:r>
    </w:p>
  </w:endnote>
  <w:endnote w:type="continuationSeparator" w:id="0">
    <w:p w14:paraId="58594129" w14:textId="77777777" w:rsidR="00916B86" w:rsidRDefault="00916B86" w:rsidP="0047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Switzerland">
    <w:charset w:val="02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8B70" w14:textId="77777777" w:rsidR="002A3E77" w:rsidRDefault="002A3E77">
    <w:pPr>
      <w:pStyle w:val="Zpat"/>
    </w:pPr>
    <w:r>
      <w:rPr>
        <w:sz w:val="20"/>
      </w:rPr>
      <mc:AlternateContent>
        <mc:Choice Requires="wpc">
          <w:drawing>
            <wp:inline distT="0" distB="0" distL="0" distR="0" wp14:anchorId="69A44864" wp14:editId="5E7A1EC2">
              <wp:extent cx="6125845" cy="119380"/>
              <wp:effectExtent l="9525" t="0" r="8255" b="4445"/>
              <wp:docPr id="10" name="Plátn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AutoShape 7"/>
                      <wps:cNvCnPr>
                        <a:cxnSpLocks noChangeShapeType="1"/>
                      </wps:cNvCnPr>
                      <wps:spPr bwMode="auto">
                        <a:xfrm>
                          <a:off x="0" y="70506"/>
                          <a:ext cx="6125845" cy="80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39FC7E6D" id="Plátno 1" o:spid="_x0000_s1026" editas="canvas" style="width:482.35pt;height:9.4pt;mso-position-horizontal-relative:char;mso-position-vertical-relative:line" coordsize="61258,1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1258;height:1193;visibility:visible;mso-wrap-style:square">
                <v:fill o:detectmouseclick="t"/>
                <v:path o:connecttype="non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8" type="#_x0000_t32" style="position:absolute;top:705;width:6125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<w10:anchorlock/>
            </v:group>
          </w:pict>
        </mc:Fallback>
      </mc:AlternateContent>
    </w:r>
  </w:p>
  <w:p w14:paraId="3F9B3156" w14:textId="77777777" w:rsidR="002A3E77" w:rsidRDefault="002A3E77">
    <w:pPr>
      <w:pStyle w:val="Zpat"/>
    </w:pPr>
    <w:r>
      <w:tab/>
    </w:r>
    <w:r>
      <w:tab/>
      <w:t xml:space="preserve">Strana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4787E">
      <w:rPr>
        <w:rStyle w:val="slostrnky"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4787E">
      <w:rPr>
        <w:rStyle w:val="slostrnky"/>
      </w:rPr>
      <w:t>11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E26F0" w14:textId="77777777" w:rsidR="00916B86" w:rsidRDefault="00916B86" w:rsidP="0047584B">
      <w:r>
        <w:separator/>
      </w:r>
    </w:p>
  </w:footnote>
  <w:footnote w:type="continuationSeparator" w:id="0">
    <w:p w14:paraId="0EA9E7AF" w14:textId="77777777" w:rsidR="00916B86" w:rsidRDefault="00916B86" w:rsidP="00475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4A30" w14:textId="38504AF5" w:rsidR="00C62A91" w:rsidRDefault="00AA6955" w:rsidP="00C036DA">
    <w:pPr>
      <w:tabs>
        <w:tab w:val="left" w:pos="1775"/>
      </w:tabs>
      <w:ind w:left="284"/>
      <w:rPr>
        <w:sz w:val="20"/>
      </w:rPr>
    </w:pPr>
    <w:r>
      <w:rPr>
        <w:sz w:val="20"/>
      </w:rPr>
      <w:t>Objekt B – 4.n.p. infekční lůžkové oddělení a lékařské pokoje</w:t>
    </w:r>
  </w:p>
  <w:p w14:paraId="332B073C" w14:textId="722A7EBF" w:rsidR="002A3E77" w:rsidRDefault="002A3E77" w:rsidP="00C036DA">
    <w:pPr>
      <w:tabs>
        <w:tab w:val="left" w:pos="1775"/>
      </w:tabs>
      <w:ind w:left="284"/>
      <w:rPr>
        <w:b/>
        <w:sz w:val="18"/>
      </w:rPr>
    </w:pPr>
    <w:r>
      <w:rPr>
        <w:sz w:val="20"/>
      </w:rPr>
      <w:t xml:space="preserve">DOKUMENTACE </w:t>
    </w:r>
    <w:r w:rsidR="00C73F83">
      <w:rPr>
        <w:sz w:val="20"/>
      </w:rPr>
      <w:t>D</w:t>
    </w:r>
    <w:r w:rsidR="00A70F8C">
      <w:rPr>
        <w:sz w:val="20"/>
      </w:rPr>
      <w:t>PS</w:t>
    </w:r>
    <w:r>
      <w:rPr>
        <w:sz w:val="20"/>
      </w:rPr>
      <w:t xml:space="preserve">                                       </w:t>
    </w:r>
  </w:p>
  <w:p w14:paraId="14C1511B" w14:textId="77777777" w:rsidR="002A3E77" w:rsidRDefault="002A3E77">
    <w:pPr>
      <w:pStyle w:val="Zhlav"/>
    </w:pPr>
    <w:r>
      <mc:AlternateContent>
        <mc:Choice Requires="wpc">
          <w:drawing>
            <wp:inline distT="0" distB="0" distL="0" distR="0" wp14:anchorId="74917605" wp14:editId="0B6981C6">
              <wp:extent cx="6130925" cy="94615"/>
              <wp:effectExtent l="0" t="0" r="12700" b="635"/>
              <wp:docPr id="9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Line 6"/>
                      <wps:cNvCnPr>
                        <a:cxnSpLocks noChangeShapeType="1"/>
                      </wps:cNvCnPr>
                      <wps:spPr bwMode="auto">
                        <a:xfrm flipV="1">
                          <a:off x="4800" y="48109"/>
                          <a:ext cx="6126125" cy="8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318EAE7B" id="Plátno 4" o:spid="_x0000_s1026" editas="canvas" style="width:482.75pt;height:7.45pt;mso-position-horizontal-relative:char;mso-position-vertical-relative:line" coordsize="61309,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1309;height:946;visibility:visible;mso-wrap-style:square">
                <v:fill o:detectmouseclick="t"/>
                <v:path o:connecttype="none"/>
              </v:shape>
              <v:line id="Line 6" o:spid="_x0000_s1028" style="position:absolute;flip:y;visibility:visible;mso-wrap-style:square" from="48,481" to="61309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"/>
      <w:legacy w:legacy="1" w:legacySpace="539" w:legacyIndent="1418"/>
      <w:lvlJc w:val="right"/>
      <w:pPr>
        <w:ind w:left="1418" w:hanging="1418"/>
      </w:pPr>
    </w:lvl>
    <w:lvl w:ilvl="1">
      <w:start w:val="1"/>
      <w:numFmt w:val="decimal"/>
      <w:pStyle w:val="Nadpis2"/>
      <w:lvlText w:val="%1.%2"/>
      <w:legacy w:legacy="1" w:legacySpace="539" w:legacyIndent="1418"/>
      <w:lvlJc w:val="right"/>
      <w:pPr>
        <w:ind w:left="1418" w:hanging="1418"/>
      </w:pPr>
    </w:lvl>
    <w:lvl w:ilvl="2">
      <w:start w:val="1"/>
      <w:numFmt w:val="decimal"/>
      <w:pStyle w:val="Nadpis3"/>
      <w:lvlText w:val="%1.%2.%3"/>
      <w:legacy w:legacy="1" w:legacySpace="539" w:legacyIndent="1418"/>
      <w:lvlJc w:val="right"/>
      <w:pPr>
        <w:ind w:left="1418" w:hanging="1418"/>
      </w:pPr>
    </w:lvl>
    <w:lvl w:ilvl="3">
      <w:start w:val="1"/>
      <w:numFmt w:val="decimal"/>
      <w:pStyle w:val="Nadpis4"/>
      <w:lvlText w:val="%1.%2.%3.%4"/>
      <w:legacy w:legacy="1" w:legacySpace="539" w:legacyIndent="1418"/>
      <w:lvlJc w:val="right"/>
      <w:pPr>
        <w:ind w:left="0" w:hanging="1418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A922AA1"/>
    <w:multiLevelType w:val="hybridMultilevel"/>
    <w:tmpl w:val="39AE3C16"/>
    <w:lvl w:ilvl="0" w:tplc="F1281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4DF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44075C9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</w:abstractNum>
  <w:abstractNum w:abstractNumId="4" w15:restartNumberingAfterBreak="0">
    <w:nsid w:val="26164448"/>
    <w:multiLevelType w:val="singleLevel"/>
    <w:tmpl w:val="0405000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9415A86"/>
    <w:multiLevelType w:val="hybridMultilevel"/>
    <w:tmpl w:val="2EA24CE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56D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B936044"/>
    <w:multiLevelType w:val="singleLevel"/>
    <w:tmpl w:val="D80CBE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62F50ED2"/>
    <w:multiLevelType w:val="singleLevel"/>
    <w:tmpl w:val="773466C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6A550D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E9F7A0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1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1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4B"/>
    <w:rsid w:val="00005B94"/>
    <w:rsid w:val="00016CFA"/>
    <w:rsid w:val="00032F4C"/>
    <w:rsid w:val="0003389E"/>
    <w:rsid w:val="000338EB"/>
    <w:rsid w:val="000346CB"/>
    <w:rsid w:val="00036623"/>
    <w:rsid w:val="00055D18"/>
    <w:rsid w:val="0006103F"/>
    <w:rsid w:val="00061AA7"/>
    <w:rsid w:val="00064502"/>
    <w:rsid w:val="00064A2B"/>
    <w:rsid w:val="00065995"/>
    <w:rsid w:val="0007461C"/>
    <w:rsid w:val="000759CB"/>
    <w:rsid w:val="000825C1"/>
    <w:rsid w:val="0008317D"/>
    <w:rsid w:val="000833B2"/>
    <w:rsid w:val="00085DE0"/>
    <w:rsid w:val="000878BE"/>
    <w:rsid w:val="000900CB"/>
    <w:rsid w:val="00091FA1"/>
    <w:rsid w:val="000B2F34"/>
    <w:rsid w:val="000B4CAB"/>
    <w:rsid w:val="000B5E9D"/>
    <w:rsid w:val="000D30D9"/>
    <w:rsid w:val="000F6166"/>
    <w:rsid w:val="001126EF"/>
    <w:rsid w:val="001240BB"/>
    <w:rsid w:val="0013352B"/>
    <w:rsid w:val="00155458"/>
    <w:rsid w:val="001717B5"/>
    <w:rsid w:val="00180DF8"/>
    <w:rsid w:val="0018302C"/>
    <w:rsid w:val="001945DD"/>
    <w:rsid w:val="00195C74"/>
    <w:rsid w:val="001979F8"/>
    <w:rsid w:val="001B2B5D"/>
    <w:rsid w:val="001C01F1"/>
    <w:rsid w:val="001C111E"/>
    <w:rsid w:val="001C1733"/>
    <w:rsid w:val="001C7A81"/>
    <w:rsid w:val="001D0FF1"/>
    <w:rsid w:val="001D3753"/>
    <w:rsid w:val="001E2199"/>
    <w:rsid w:val="001E2AF9"/>
    <w:rsid w:val="001E364D"/>
    <w:rsid w:val="001E7D3E"/>
    <w:rsid w:val="001F5CF6"/>
    <w:rsid w:val="00207CAC"/>
    <w:rsid w:val="0021465B"/>
    <w:rsid w:val="0021614E"/>
    <w:rsid w:val="00216F9B"/>
    <w:rsid w:val="00230A2B"/>
    <w:rsid w:val="002352B9"/>
    <w:rsid w:val="00241AE8"/>
    <w:rsid w:val="00242BA8"/>
    <w:rsid w:val="002520A8"/>
    <w:rsid w:val="002820F1"/>
    <w:rsid w:val="002910D4"/>
    <w:rsid w:val="002964D6"/>
    <w:rsid w:val="002A3132"/>
    <w:rsid w:val="002A3E77"/>
    <w:rsid w:val="002A7167"/>
    <w:rsid w:val="002B27E6"/>
    <w:rsid w:val="002C1B5C"/>
    <w:rsid w:val="002C465E"/>
    <w:rsid w:val="002C47EF"/>
    <w:rsid w:val="002C559E"/>
    <w:rsid w:val="002C6A0A"/>
    <w:rsid w:val="002D1EA1"/>
    <w:rsid w:val="002D2000"/>
    <w:rsid w:val="002D43D6"/>
    <w:rsid w:val="002D62CA"/>
    <w:rsid w:val="002E7DCB"/>
    <w:rsid w:val="002F15E3"/>
    <w:rsid w:val="002F32E3"/>
    <w:rsid w:val="002F6233"/>
    <w:rsid w:val="00301817"/>
    <w:rsid w:val="003124DF"/>
    <w:rsid w:val="00321F01"/>
    <w:rsid w:val="00331EEA"/>
    <w:rsid w:val="00337421"/>
    <w:rsid w:val="00346138"/>
    <w:rsid w:val="00355787"/>
    <w:rsid w:val="00356C60"/>
    <w:rsid w:val="00362730"/>
    <w:rsid w:val="00363C56"/>
    <w:rsid w:val="00377E05"/>
    <w:rsid w:val="003877DE"/>
    <w:rsid w:val="003A0BB8"/>
    <w:rsid w:val="003A71ED"/>
    <w:rsid w:val="003B1C3C"/>
    <w:rsid w:val="003B4528"/>
    <w:rsid w:val="003C1534"/>
    <w:rsid w:val="003C3C58"/>
    <w:rsid w:val="003C4D3C"/>
    <w:rsid w:val="003C4E8E"/>
    <w:rsid w:val="003D0A2A"/>
    <w:rsid w:val="003E20AB"/>
    <w:rsid w:val="003E39D5"/>
    <w:rsid w:val="003E7D0D"/>
    <w:rsid w:val="003E7F2D"/>
    <w:rsid w:val="003F0D9E"/>
    <w:rsid w:val="003F55B4"/>
    <w:rsid w:val="003F7294"/>
    <w:rsid w:val="00433AC3"/>
    <w:rsid w:val="004432C8"/>
    <w:rsid w:val="0044482F"/>
    <w:rsid w:val="00450F41"/>
    <w:rsid w:val="00457B44"/>
    <w:rsid w:val="0047584B"/>
    <w:rsid w:val="00483B50"/>
    <w:rsid w:val="00484751"/>
    <w:rsid w:val="0049128F"/>
    <w:rsid w:val="004941A1"/>
    <w:rsid w:val="0049528B"/>
    <w:rsid w:val="004A2EF1"/>
    <w:rsid w:val="004A6E64"/>
    <w:rsid w:val="004B3DB4"/>
    <w:rsid w:val="004B6E2E"/>
    <w:rsid w:val="004C2F6F"/>
    <w:rsid w:val="004C69AA"/>
    <w:rsid w:val="004D54D0"/>
    <w:rsid w:val="004D75EE"/>
    <w:rsid w:val="004E0F3B"/>
    <w:rsid w:val="004F0BE7"/>
    <w:rsid w:val="004F7C63"/>
    <w:rsid w:val="00501194"/>
    <w:rsid w:val="005024BE"/>
    <w:rsid w:val="00505FAA"/>
    <w:rsid w:val="00506CA4"/>
    <w:rsid w:val="00511C54"/>
    <w:rsid w:val="00521270"/>
    <w:rsid w:val="00531470"/>
    <w:rsid w:val="00536165"/>
    <w:rsid w:val="00536FDD"/>
    <w:rsid w:val="005406BE"/>
    <w:rsid w:val="005449AC"/>
    <w:rsid w:val="00546B80"/>
    <w:rsid w:val="00551366"/>
    <w:rsid w:val="00553555"/>
    <w:rsid w:val="0057689D"/>
    <w:rsid w:val="005778F6"/>
    <w:rsid w:val="00591638"/>
    <w:rsid w:val="00592DCC"/>
    <w:rsid w:val="00593CD4"/>
    <w:rsid w:val="00593F46"/>
    <w:rsid w:val="00595BAD"/>
    <w:rsid w:val="005974B4"/>
    <w:rsid w:val="005B5A2A"/>
    <w:rsid w:val="005B66CF"/>
    <w:rsid w:val="005C31FD"/>
    <w:rsid w:val="005C5282"/>
    <w:rsid w:val="005D0784"/>
    <w:rsid w:val="005F3CBE"/>
    <w:rsid w:val="00607612"/>
    <w:rsid w:val="00610B98"/>
    <w:rsid w:val="00610DA7"/>
    <w:rsid w:val="00611A70"/>
    <w:rsid w:val="00620905"/>
    <w:rsid w:val="00623AD4"/>
    <w:rsid w:val="00636AC9"/>
    <w:rsid w:val="00643B39"/>
    <w:rsid w:val="00644CA5"/>
    <w:rsid w:val="00645EB9"/>
    <w:rsid w:val="0064787E"/>
    <w:rsid w:val="00647C89"/>
    <w:rsid w:val="0065258E"/>
    <w:rsid w:val="0065338A"/>
    <w:rsid w:val="00655596"/>
    <w:rsid w:val="006636CA"/>
    <w:rsid w:val="00666EB4"/>
    <w:rsid w:val="006724B0"/>
    <w:rsid w:val="00674E62"/>
    <w:rsid w:val="00675DAE"/>
    <w:rsid w:val="00675E38"/>
    <w:rsid w:val="00677CF9"/>
    <w:rsid w:val="0068095E"/>
    <w:rsid w:val="00685913"/>
    <w:rsid w:val="006956D7"/>
    <w:rsid w:val="00696BA5"/>
    <w:rsid w:val="006973DD"/>
    <w:rsid w:val="006A6287"/>
    <w:rsid w:val="006B01C1"/>
    <w:rsid w:val="006B098D"/>
    <w:rsid w:val="006B4F21"/>
    <w:rsid w:val="006B6991"/>
    <w:rsid w:val="006C21B9"/>
    <w:rsid w:val="006C2EA7"/>
    <w:rsid w:val="006C4391"/>
    <w:rsid w:val="006C5C1F"/>
    <w:rsid w:val="006C652F"/>
    <w:rsid w:val="006D4669"/>
    <w:rsid w:val="006D798D"/>
    <w:rsid w:val="006D7F56"/>
    <w:rsid w:val="006E2118"/>
    <w:rsid w:val="006E27C8"/>
    <w:rsid w:val="006E587D"/>
    <w:rsid w:val="006E7A7C"/>
    <w:rsid w:val="006F05CF"/>
    <w:rsid w:val="0073503B"/>
    <w:rsid w:val="0074057B"/>
    <w:rsid w:val="00741DB7"/>
    <w:rsid w:val="00756897"/>
    <w:rsid w:val="00773CEC"/>
    <w:rsid w:val="00780DEF"/>
    <w:rsid w:val="007837F2"/>
    <w:rsid w:val="007849E9"/>
    <w:rsid w:val="00786F5B"/>
    <w:rsid w:val="00795163"/>
    <w:rsid w:val="007952E2"/>
    <w:rsid w:val="0079576E"/>
    <w:rsid w:val="007A36C8"/>
    <w:rsid w:val="007B674B"/>
    <w:rsid w:val="007C1B3A"/>
    <w:rsid w:val="007C31FF"/>
    <w:rsid w:val="007D552E"/>
    <w:rsid w:val="007E03D3"/>
    <w:rsid w:val="007E1737"/>
    <w:rsid w:val="007E214B"/>
    <w:rsid w:val="007E33D3"/>
    <w:rsid w:val="007F0B08"/>
    <w:rsid w:val="007F589E"/>
    <w:rsid w:val="008014B7"/>
    <w:rsid w:val="00802063"/>
    <w:rsid w:val="0080409A"/>
    <w:rsid w:val="008041FE"/>
    <w:rsid w:val="00810285"/>
    <w:rsid w:val="00814054"/>
    <w:rsid w:val="0082199F"/>
    <w:rsid w:val="00821ECC"/>
    <w:rsid w:val="00825BEF"/>
    <w:rsid w:val="00827506"/>
    <w:rsid w:val="0083167A"/>
    <w:rsid w:val="00831A8D"/>
    <w:rsid w:val="00847208"/>
    <w:rsid w:val="0085322F"/>
    <w:rsid w:val="00854461"/>
    <w:rsid w:val="008616B9"/>
    <w:rsid w:val="00872A99"/>
    <w:rsid w:val="00882232"/>
    <w:rsid w:val="00887CEF"/>
    <w:rsid w:val="008978C7"/>
    <w:rsid w:val="008A0365"/>
    <w:rsid w:val="008A2AA4"/>
    <w:rsid w:val="008A59CA"/>
    <w:rsid w:val="008C1144"/>
    <w:rsid w:val="008C52EA"/>
    <w:rsid w:val="008C5A1C"/>
    <w:rsid w:val="008D25AE"/>
    <w:rsid w:val="008D2E06"/>
    <w:rsid w:val="008D6995"/>
    <w:rsid w:val="008D713E"/>
    <w:rsid w:val="008D7475"/>
    <w:rsid w:val="008E3927"/>
    <w:rsid w:val="008F041C"/>
    <w:rsid w:val="008F1225"/>
    <w:rsid w:val="008F2157"/>
    <w:rsid w:val="008F44E0"/>
    <w:rsid w:val="008F75B2"/>
    <w:rsid w:val="00901B4F"/>
    <w:rsid w:val="00902F4C"/>
    <w:rsid w:val="00905ECC"/>
    <w:rsid w:val="00915C6C"/>
    <w:rsid w:val="00916B86"/>
    <w:rsid w:val="009200B7"/>
    <w:rsid w:val="00920289"/>
    <w:rsid w:val="0092151E"/>
    <w:rsid w:val="00923C73"/>
    <w:rsid w:val="00935272"/>
    <w:rsid w:val="009374FE"/>
    <w:rsid w:val="00941561"/>
    <w:rsid w:val="00942115"/>
    <w:rsid w:val="009442BA"/>
    <w:rsid w:val="00945895"/>
    <w:rsid w:val="00947374"/>
    <w:rsid w:val="00950108"/>
    <w:rsid w:val="00950E94"/>
    <w:rsid w:val="00952EB9"/>
    <w:rsid w:val="00954EAC"/>
    <w:rsid w:val="009635CD"/>
    <w:rsid w:val="00963D4A"/>
    <w:rsid w:val="00973A40"/>
    <w:rsid w:val="00992771"/>
    <w:rsid w:val="009A4264"/>
    <w:rsid w:val="009B4C60"/>
    <w:rsid w:val="009C166B"/>
    <w:rsid w:val="009C1BC8"/>
    <w:rsid w:val="009D4B11"/>
    <w:rsid w:val="009E5A2B"/>
    <w:rsid w:val="009F0062"/>
    <w:rsid w:val="009F1BA5"/>
    <w:rsid w:val="009F66AB"/>
    <w:rsid w:val="009F6FA1"/>
    <w:rsid w:val="00A01F47"/>
    <w:rsid w:val="00A13CC7"/>
    <w:rsid w:val="00A246A6"/>
    <w:rsid w:val="00A24D2D"/>
    <w:rsid w:val="00A3692F"/>
    <w:rsid w:val="00A424A4"/>
    <w:rsid w:val="00A42CC4"/>
    <w:rsid w:val="00A507BF"/>
    <w:rsid w:val="00A57D53"/>
    <w:rsid w:val="00A70F8C"/>
    <w:rsid w:val="00A73508"/>
    <w:rsid w:val="00A84038"/>
    <w:rsid w:val="00A96D7E"/>
    <w:rsid w:val="00A97944"/>
    <w:rsid w:val="00A97BB8"/>
    <w:rsid w:val="00AA3E12"/>
    <w:rsid w:val="00AA6955"/>
    <w:rsid w:val="00AA6F47"/>
    <w:rsid w:val="00AB0509"/>
    <w:rsid w:val="00AB0B0B"/>
    <w:rsid w:val="00AB3661"/>
    <w:rsid w:val="00AF3563"/>
    <w:rsid w:val="00B01355"/>
    <w:rsid w:val="00B10363"/>
    <w:rsid w:val="00B10A37"/>
    <w:rsid w:val="00B232B2"/>
    <w:rsid w:val="00B324FD"/>
    <w:rsid w:val="00B33E8A"/>
    <w:rsid w:val="00B3661F"/>
    <w:rsid w:val="00B605DE"/>
    <w:rsid w:val="00B76317"/>
    <w:rsid w:val="00B763F2"/>
    <w:rsid w:val="00B84C88"/>
    <w:rsid w:val="00B853C8"/>
    <w:rsid w:val="00B8589F"/>
    <w:rsid w:val="00B87658"/>
    <w:rsid w:val="00B91EF7"/>
    <w:rsid w:val="00B922F8"/>
    <w:rsid w:val="00B92606"/>
    <w:rsid w:val="00B97417"/>
    <w:rsid w:val="00B97B7B"/>
    <w:rsid w:val="00BA45D2"/>
    <w:rsid w:val="00BB5A2D"/>
    <w:rsid w:val="00BE6B41"/>
    <w:rsid w:val="00BF0428"/>
    <w:rsid w:val="00BF76C5"/>
    <w:rsid w:val="00C036DA"/>
    <w:rsid w:val="00C325A8"/>
    <w:rsid w:val="00C538A4"/>
    <w:rsid w:val="00C62A91"/>
    <w:rsid w:val="00C644C9"/>
    <w:rsid w:val="00C64A9E"/>
    <w:rsid w:val="00C70682"/>
    <w:rsid w:val="00C711A7"/>
    <w:rsid w:val="00C73F83"/>
    <w:rsid w:val="00C767A5"/>
    <w:rsid w:val="00C87FE1"/>
    <w:rsid w:val="00C91C49"/>
    <w:rsid w:val="00C958B0"/>
    <w:rsid w:val="00C95EC1"/>
    <w:rsid w:val="00C9673E"/>
    <w:rsid w:val="00C976EE"/>
    <w:rsid w:val="00CB0E2D"/>
    <w:rsid w:val="00CB477A"/>
    <w:rsid w:val="00CB655C"/>
    <w:rsid w:val="00CC1FB1"/>
    <w:rsid w:val="00CC4D52"/>
    <w:rsid w:val="00CD21E7"/>
    <w:rsid w:val="00CD3427"/>
    <w:rsid w:val="00CD5D5C"/>
    <w:rsid w:val="00CD7909"/>
    <w:rsid w:val="00CE5044"/>
    <w:rsid w:val="00CF1540"/>
    <w:rsid w:val="00CF3D76"/>
    <w:rsid w:val="00CF743B"/>
    <w:rsid w:val="00D00807"/>
    <w:rsid w:val="00D11F33"/>
    <w:rsid w:val="00D15C9E"/>
    <w:rsid w:val="00D304D0"/>
    <w:rsid w:val="00D47D38"/>
    <w:rsid w:val="00D7103D"/>
    <w:rsid w:val="00D74EBB"/>
    <w:rsid w:val="00D80C24"/>
    <w:rsid w:val="00D91BE7"/>
    <w:rsid w:val="00D97E09"/>
    <w:rsid w:val="00DB2408"/>
    <w:rsid w:val="00DB4D08"/>
    <w:rsid w:val="00DC00FD"/>
    <w:rsid w:val="00DC4207"/>
    <w:rsid w:val="00DC70FE"/>
    <w:rsid w:val="00DD22F8"/>
    <w:rsid w:val="00DE0C26"/>
    <w:rsid w:val="00DF3B2C"/>
    <w:rsid w:val="00E00014"/>
    <w:rsid w:val="00E03BEF"/>
    <w:rsid w:val="00E20F23"/>
    <w:rsid w:val="00E32821"/>
    <w:rsid w:val="00E3696B"/>
    <w:rsid w:val="00E40BD5"/>
    <w:rsid w:val="00E438E4"/>
    <w:rsid w:val="00E51342"/>
    <w:rsid w:val="00E54364"/>
    <w:rsid w:val="00E54673"/>
    <w:rsid w:val="00E61588"/>
    <w:rsid w:val="00E650C6"/>
    <w:rsid w:val="00E65AA0"/>
    <w:rsid w:val="00E80F9F"/>
    <w:rsid w:val="00E862A1"/>
    <w:rsid w:val="00E92330"/>
    <w:rsid w:val="00E95C2A"/>
    <w:rsid w:val="00E968DB"/>
    <w:rsid w:val="00EA4037"/>
    <w:rsid w:val="00EB1E2C"/>
    <w:rsid w:val="00EB6895"/>
    <w:rsid w:val="00EB7522"/>
    <w:rsid w:val="00EC04EE"/>
    <w:rsid w:val="00EC07D3"/>
    <w:rsid w:val="00EC2F0F"/>
    <w:rsid w:val="00ED17BA"/>
    <w:rsid w:val="00ED48B9"/>
    <w:rsid w:val="00EE3719"/>
    <w:rsid w:val="00EE3E10"/>
    <w:rsid w:val="00EF6BEA"/>
    <w:rsid w:val="00F05E85"/>
    <w:rsid w:val="00F137C1"/>
    <w:rsid w:val="00F35E58"/>
    <w:rsid w:val="00F46680"/>
    <w:rsid w:val="00F47C91"/>
    <w:rsid w:val="00F57DB5"/>
    <w:rsid w:val="00F61E11"/>
    <w:rsid w:val="00F62543"/>
    <w:rsid w:val="00F62B92"/>
    <w:rsid w:val="00F719E8"/>
    <w:rsid w:val="00F81AE7"/>
    <w:rsid w:val="00F83A8C"/>
    <w:rsid w:val="00F86901"/>
    <w:rsid w:val="00F90C05"/>
    <w:rsid w:val="00F96009"/>
    <w:rsid w:val="00FA0D23"/>
    <w:rsid w:val="00FB7A00"/>
    <w:rsid w:val="00FC034B"/>
    <w:rsid w:val="00FC5D89"/>
    <w:rsid w:val="00FE113C"/>
    <w:rsid w:val="00FF4434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EFDCA12"/>
  <w15:docId w15:val="{1B95D092-AC48-463A-88D0-CFA034C6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584B"/>
    <w:pPr>
      <w:spacing w:after="0" w:line="240" w:lineRule="auto"/>
    </w:pPr>
    <w:rPr>
      <w:rFonts w:ascii="Arial" w:eastAsia="Times New Roman" w:hAnsi="Arial" w:cs="Times New Roman"/>
      <w:noProof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7584B"/>
    <w:pPr>
      <w:keepNext/>
      <w:widowControl w:val="0"/>
      <w:numPr>
        <w:numId w:val="1"/>
      </w:numPr>
      <w:spacing w:after="280" w:line="280" w:lineRule="atLeast"/>
      <w:jc w:val="both"/>
      <w:outlineLvl w:val="0"/>
    </w:pPr>
    <w:rPr>
      <w:b/>
      <w:noProof w:val="0"/>
      <w:kern w:val="28"/>
      <w:sz w:val="24"/>
    </w:rPr>
  </w:style>
  <w:style w:type="paragraph" w:styleId="Nadpis2">
    <w:name w:val="heading 2"/>
    <w:aliases w:val="Nadpis 2 Char Char,Nadpis 2 Char Char Char Char Char,Nadpis 2 Char Char Char"/>
    <w:basedOn w:val="Nadpis1"/>
    <w:next w:val="Normln"/>
    <w:link w:val="Nadpis2Char"/>
    <w:qFormat/>
    <w:rsid w:val="0047584B"/>
    <w:pPr>
      <w:numPr>
        <w:ilvl w:val="1"/>
      </w:numPr>
      <w:ind w:left="0"/>
      <w:outlineLvl w:val="1"/>
    </w:pPr>
    <w:rPr>
      <w:sz w:val="22"/>
    </w:rPr>
  </w:style>
  <w:style w:type="paragraph" w:styleId="Nadpis3">
    <w:name w:val="heading 3"/>
    <w:aliases w:val="Nadpis 3 velká písmena"/>
    <w:basedOn w:val="Nadpis1"/>
    <w:next w:val="Normln"/>
    <w:link w:val="Nadpis3Char"/>
    <w:qFormat/>
    <w:rsid w:val="0047584B"/>
    <w:pPr>
      <w:numPr>
        <w:ilvl w:val="2"/>
      </w:numPr>
      <w:outlineLvl w:val="2"/>
    </w:pPr>
    <w:rPr>
      <w:sz w:val="20"/>
    </w:rPr>
  </w:style>
  <w:style w:type="paragraph" w:styleId="Nadpis4">
    <w:name w:val="heading 4"/>
    <w:basedOn w:val="Nadpis1"/>
    <w:next w:val="Normln"/>
    <w:link w:val="Nadpis4Char"/>
    <w:qFormat/>
    <w:rsid w:val="0047584B"/>
    <w:pPr>
      <w:numPr>
        <w:ilvl w:val="3"/>
      </w:numPr>
      <w:outlineLvl w:val="3"/>
    </w:pPr>
    <w:rPr>
      <w:sz w:val="19"/>
    </w:rPr>
  </w:style>
  <w:style w:type="paragraph" w:styleId="Nadpis5">
    <w:name w:val="heading 5"/>
    <w:basedOn w:val="Normln"/>
    <w:next w:val="Normln"/>
    <w:link w:val="Nadpis5Char"/>
    <w:qFormat/>
    <w:rsid w:val="0047584B"/>
    <w:pPr>
      <w:widowControl w:val="0"/>
      <w:numPr>
        <w:ilvl w:val="4"/>
        <w:numId w:val="1"/>
      </w:numPr>
      <w:spacing w:before="240" w:after="60" w:line="280" w:lineRule="atLeast"/>
      <w:jc w:val="both"/>
      <w:outlineLvl w:val="4"/>
    </w:pPr>
    <w:rPr>
      <w:noProof w:val="0"/>
    </w:rPr>
  </w:style>
  <w:style w:type="paragraph" w:styleId="Nadpis6">
    <w:name w:val="heading 6"/>
    <w:basedOn w:val="Normln"/>
    <w:next w:val="Normln"/>
    <w:link w:val="Nadpis6Char"/>
    <w:qFormat/>
    <w:rsid w:val="0047584B"/>
    <w:pPr>
      <w:widowControl w:val="0"/>
      <w:numPr>
        <w:ilvl w:val="5"/>
        <w:numId w:val="1"/>
      </w:numPr>
      <w:spacing w:before="240" w:after="60" w:line="280" w:lineRule="atLeast"/>
      <w:jc w:val="both"/>
      <w:outlineLvl w:val="5"/>
    </w:pPr>
    <w:rPr>
      <w:rFonts w:ascii="Times New Roman" w:hAnsi="Times New Roman"/>
      <w:i/>
      <w:noProof w:val="0"/>
    </w:rPr>
  </w:style>
  <w:style w:type="paragraph" w:styleId="Nadpis7">
    <w:name w:val="heading 7"/>
    <w:basedOn w:val="Normln"/>
    <w:next w:val="Normln"/>
    <w:link w:val="Nadpis7Char"/>
    <w:qFormat/>
    <w:rsid w:val="0047584B"/>
    <w:pPr>
      <w:widowControl w:val="0"/>
      <w:numPr>
        <w:ilvl w:val="6"/>
        <w:numId w:val="1"/>
      </w:numPr>
      <w:spacing w:before="240" w:after="60" w:line="280" w:lineRule="atLeast"/>
      <w:jc w:val="both"/>
      <w:outlineLvl w:val="6"/>
    </w:pPr>
    <w:rPr>
      <w:noProof w:val="0"/>
      <w:sz w:val="19"/>
    </w:rPr>
  </w:style>
  <w:style w:type="paragraph" w:styleId="Nadpis8">
    <w:name w:val="heading 8"/>
    <w:basedOn w:val="Normln"/>
    <w:next w:val="Normln"/>
    <w:link w:val="Nadpis8Char"/>
    <w:qFormat/>
    <w:rsid w:val="0047584B"/>
    <w:pPr>
      <w:widowControl w:val="0"/>
      <w:numPr>
        <w:ilvl w:val="7"/>
        <w:numId w:val="1"/>
      </w:numPr>
      <w:spacing w:before="240" w:after="60" w:line="280" w:lineRule="atLeast"/>
      <w:jc w:val="both"/>
      <w:outlineLvl w:val="7"/>
    </w:pPr>
    <w:rPr>
      <w:i/>
      <w:noProof w:val="0"/>
      <w:sz w:val="19"/>
    </w:rPr>
  </w:style>
  <w:style w:type="paragraph" w:styleId="Nadpis9">
    <w:name w:val="heading 9"/>
    <w:basedOn w:val="Normln"/>
    <w:next w:val="Normln"/>
    <w:link w:val="Nadpis9Char"/>
    <w:qFormat/>
    <w:rsid w:val="0047584B"/>
    <w:pPr>
      <w:widowControl w:val="0"/>
      <w:numPr>
        <w:ilvl w:val="8"/>
        <w:numId w:val="1"/>
      </w:numPr>
      <w:spacing w:before="240" w:after="60" w:line="280" w:lineRule="atLeast"/>
      <w:jc w:val="both"/>
      <w:outlineLvl w:val="8"/>
    </w:pPr>
    <w:rPr>
      <w:b/>
      <w:i/>
      <w:noProof w:val="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7584B"/>
    <w:rPr>
      <w:rFonts w:ascii="Arial" w:eastAsia="Times New Roman" w:hAnsi="Arial" w:cs="Times New Roman"/>
      <w:b/>
      <w:kern w:val="28"/>
      <w:sz w:val="24"/>
      <w:szCs w:val="20"/>
      <w:lang w:eastAsia="cs-CZ"/>
    </w:rPr>
  </w:style>
  <w:style w:type="character" w:customStyle="1" w:styleId="Nadpis2Char">
    <w:name w:val="Nadpis 2 Char"/>
    <w:aliases w:val="Nadpis 2 Char Char Char1,Nadpis 2 Char Char Char Char Char Char,Nadpis 2 Char Char Char Char"/>
    <w:basedOn w:val="Standardnpsmoodstavce"/>
    <w:link w:val="Nadpis2"/>
    <w:rsid w:val="0047584B"/>
    <w:rPr>
      <w:rFonts w:ascii="Arial" w:eastAsia="Times New Roman" w:hAnsi="Arial" w:cs="Times New Roman"/>
      <w:b/>
      <w:kern w:val="28"/>
      <w:szCs w:val="20"/>
      <w:lang w:eastAsia="cs-CZ"/>
    </w:rPr>
  </w:style>
  <w:style w:type="character" w:customStyle="1" w:styleId="Nadpis3Char">
    <w:name w:val="Nadpis 3 Char"/>
    <w:aliases w:val="Nadpis 3 velká písmena Char"/>
    <w:basedOn w:val="Standardnpsmoodstavce"/>
    <w:link w:val="Nadpis3"/>
    <w:rsid w:val="0047584B"/>
    <w:rPr>
      <w:rFonts w:ascii="Arial" w:eastAsia="Times New Roman" w:hAnsi="Arial" w:cs="Times New Roman"/>
      <w:b/>
      <w:kern w:val="28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7584B"/>
    <w:rPr>
      <w:rFonts w:ascii="Arial" w:eastAsia="Times New Roman" w:hAnsi="Arial" w:cs="Times New Roman"/>
      <w:b/>
      <w:kern w:val="28"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7584B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7584B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7584B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47584B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47584B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pat">
    <w:name w:val="footer"/>
    <w:basedOn w:val="Normln"/>
    <w:link w:val="ZpatChar"/>
    <w:rsid w:val="0047584B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rsid w:val="0047584B"/>
    <w:rPr>
      <w:rFonts w:ascii="Arial" w:eastAsia="Times New Roman" w:hAnsi="Arial" w:cs="Times New Roman"/>
      <w:noProof/>
      <w:sz w:val="18"/>
      <w:szCs w:val="20"/>
      <w:lang w:eastAsia="cs-CZ"/>
    </w:rPr>
  </w:style>
  <w:style w:type="paragraph" w:styleId="Zhlav">
    <w:name w:val="header"/>
    <w:basedOn w:val="Normln"/>
    <w:link w:val="ZhlavChar"/>
    <w:rsid w:val="0047584B"/>
    <w:pPr>
      <w:tabs>
        <w:tab w:val="center" w:pos="4536"/>
        <w:tab w:val="right" w:pos="9072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rsid w:val="0047584B"/>
    <w:rPr>
      <w:rFonts w:ascii="Arial" w:eastAsia="Times New Roman" w:hAnsi="Arial" w:cs="Times New Roman"/>
      <w:noProof/>
      <w:sz w:val="18"/>
      <w:szCs w:val="20"/>
      <w:lang w:eastAsia="cs-CZ"/>
    </w:rPr>
  </w:style>
  <w:style w:type="character" w:styleId="slostrnky">
    <w:name w:val="page number"/>
    <w:basedOn w:val="Standardnpsmoodstavce"/>
    <w:rsid w:val="0047584B"/>
    <w:rPr>
      <w:rFonts w:ascii="Arial" w:hAnsi="Arial"/>
      <w:sz w:val="18"/>
    </w:rPr>
  </w:style>
  <w:style w:type="paragraph" w:customStyle="1" w:styleId="Bold">
    <w:name w:val="Bold"/>
    <w:basedOn w:val="Normln"/>
    <w:next w:val="Normln"/>
    <w:rsid w:val="0047584B"/>
    <w:pPr>
      <w:widowControl w:val="0"/>
      <w:spacing w:line="280" w:lineRule="atLeast"/>
      <w:jc w:val="both"/>
    </w:pPr>
    <w:rPr>
      <w:b/>
      <w:noProof w:val="0"/>
      <w:sz w:val="19"/>
    </w:rPr>
  </w:style>
  <w:style w:type="paragraph" w:customStyle="1" w:styleId="Rechts">
    <w:name w:val="Rechts"/>
    <w:basedOn w:val="Normln"/>
    <w:rsid w:val="0047584B"/>
    <w:pPr>
      <w:widowControl w:val="0"/>
      <w:spacing w:line="280" w:lineRule="atLeast"/>
      <w:jc w:val="right"/>
    </w:pPr>
    <w:rPr>
      <w:noProof w:val="0"/>
      <w:sz w:val="19"/>
    </w:rPr>
  </w:style>
  <w:style w:type="paragraph" w:styleId="Zkladntext">
    <w:name w:val="Body Text"/>
    <w:basedOn w:val="Normln"/>
    <w:link w:val="ZkladntextChar"/>
    <w:rsid w:val="0047584B"/>
    <w:pPr>
      <w:widowControl w:val="0"/>
      <w:spacing w:line="280" w:lineRule="atLeast"/>
      <w:jc w:val="both"/>
    </w:pPr>
    <w:rPr>
      <w:noProof w:val="0"/>
      <w:sz w:val="19"/>
    </w:rPr>
  </w:style>
  <w:style w:type="character" w:customStyle="1" w:styleId="ZkladntextChar">
    <w:name w:val="Základní text Char"/>
    <w:basedOn w:val="Standardnpsmoodstavce"/>
    <w:link w:val="Zkladntext"/>
    <w:rsid w:val="0047584B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Bold14voor">
    <w:name w:val="Bold 14 voor"/>
    <w:basedOn w:val="Normln"/>
    <w:rsid w:val="0047584B"/>
    <w:pPr>
      <w:widowControl w:val="0"/>
      <w:spacing w:before="280" w:line="280" w:lineRule="atLeast"/>
      <w:jc w:val="both"/>
    </w:pPr>
    <w:rPr>
      <w:b/>
      <w:noProof w:val="0"/>
      <w:sz w:val="19"/>
    </w:rPr>
  </w:style>
  <w:style w:type="paragraph" w:styleId="Textpoznpodarou">
    <w:name w:val="footnote text"/>
    <w:basedOn w:val="Normln"/>
    <w:link w:val="TextpoznpodarouChar"/>
    <w:semiHidden/>
    <w:rsid w:val="0047584B"/>
    <w:pPr>
      <w:widowControl w:val="0"/>
      <w:spacing w:line="280" w:lineRule="atLeast"/>
      <w:jc w:val="both"/>
    </w:pPr>
    <w:rPr>
      <w:noProof w:val="0"/>
      <w:sz w:val="14"/>
      <w:lang w:val="de-D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7584B"/>
    <w:rPr>
      <w:rFonts w:ascii="Arial" w:eastAsia="Times New Roman" w:hAnsi="Arial" w:cs="Times New Roman"/>
      <w:sz w:val="14"/>
      <w:szCs w:val="20"/>
      <w:lang w:val="de-DE" w:eastAsia="cs-CZ"/>
    </w:rPr>
  </w:style>
  <w:style w:type="paragraph" w:customStyle="1" w:styleId="Pomlka">
    <w:name w:val="Pomlčka"/>
    <w:basedOn w:val="Normln"/>
    <w:autoRedefine/>
    <w:rsid w:val="0047584B"/>
    <w:pPr>
      <w:tabs>
        <w:tab w:val="left" w:pos="0"/>
        <w:tab w:val="num" w:pos="360"/>
        <w:tab w:val="num" w:pos="709"/>
      </w:tabs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noProof w:val="0"/>
      <w:color w:val="000000"/>
      <w:sz w:val="19"/>
    </w:rPr>
  </w:style>
  <w:style w:type="character" w:styleId="Znakapoznpodarou">
    <w:name w:val="footnote reference"/>
    <w:basedOn w:val="Standardnpsmoodstavce"/>
    <w:semiHidden/>
    <w:rsid w:val="0047584B"/>
    <w:rPr>
      <w:vertAlign w:val="superscript"/>
    </w:rPr>
  </w:style>
  <w:style w:type="paragraph" w:customStyle="1" w:styleId="Odsazen05">
    <w:name w:val="Odsazený 0.5"/>
    <w:basedOn w:val="Zkladntext"/>
    <w:rsid w:val="0047584B"/>
    <w:pPr>
      <w:widowControl/>
      <w:overflowPunct w:val="0"/>
      <w:autoSpaceDE w:val="0"/>
      <w:autoSpaceDN w:val="0"/>
      <w:adjustRightInd w:val="0"/>
      <w:spacing w:after="120" w:line="240" w:lineRule="atLeast"/>
      <w:ind w:left="284"/>
      <w:textAlignment w:val="baseline"/>
    </w:pPr>
    <w:rPr>
      <w:rFonts w:ascii="Times New Roman" w:hAnsi="Times New Roman"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47584B"/>
    <w:pPr>
      <w:tabs>
        <w:tab w:val="left" w:pos="440"/>
        <w:tab w:val="right" w:pos="9498"/>
      </w:tabs>
    </w:pPr>
    <w:rPr>
      <w:rFonts w:ascii="Times New Roman" w:hAnsi="Times New Roman"/>
      <w:b/>
    </w:rPr>
  </w:style>
  <w:style w:type="character" w:styleId="Hypertextovodkaz">
    <w:name w:val="Hyperlink"/>
    <w:basedOn w:val="Standardnpsmoodstavce"/>
    <w:uiPriority w:val="99"/>
    <w:rsid w:val="0047584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36FDD"/>
    <w:pPr>
      <w:tabs>
        <w:tab w:val="left" w:pos="851"/>
        <w:tab w:val="left" w:pos="8931"/>
      </w:tabs>
      <w:ind w:left="426" w:right="28"/>
    </w:pPr>
    <w:rPr>
      <w:rFonts w:ascii="Times New Roman" w:hAnsi="Times New Roman"/>
      <w:sz w:val="20"/>
    </w:rPr>
  </w:style>
  <w:style w:type="paragraph" w:styleId="Obsah2">
    <w:name w:val="toc 2"/>
    <w:basedOn w:val="Normln"/>
    <w:next w:val="Normln"/>
    <w:autoRedefine/>
    <w:uiPriority w:val="39"/>
    <w:rsid w:val="0047584B"/>
    <w:pPr>
      <w:tabs>
        <w:tab w:val="left" w:pos="800"/>
        <w:tab w:val="right" w:pos="9498"/>
      </w:tabs>
      <w:spacing w:before="240"/>
    </w:pPr>
    <w:rPr>
      <w:rFonts w:ascii="Times New Roman" w:hAnsi="Times New Roman"/>
      <w:b/>
    </w:rPr>
  </w:style>
  <w:style w:type="paragraph" w:styleId="slovanseznam">
    <w:name w:val="List Number"/>
    <w:basedOn w:val="Normln"/>
    <w:rsid w:val="0047584B"/>
    <w:pPr>
      <w:spacing w:before="120" w:after="360"/>
      <w:ind w:left="283" w:hanging="283"/>
    </w:pPr>
    <w:rPr>
      <w:rFonts w:ascii="Times New Roman" w:hAnsi="Times New Roman"/>
      <w:noProof w:val="0"/>
      <w:sz w:val="24"/>
    </w:rPr>
  </w:style>
  <w:style w:type="paragraph" w:customStyle="1" w:styleId="SW-norm3">
    <w:name w:val="SW-norm3"/>
    <w:basedOn w:val="Normln"/>
    <w:rsid w:val="0047584B"/>
    <w:pPr>
      <w:spacing w:after="24"/>
      <w:jc w:val="both"/>
    </w:pPr>
    <w:rPr>
      <w:rFonts w:ascii="AT*Switzerland" w:hAnsi="AT*Switzerland"/>
      <w:noProof w:val="0"/>
      <w:spacing w:val="5"/>
      <w:sz w:val="18"/>
      <w:lang w:val="en-GB"/>
    </w:rPr>
  </w:style>
  <w:style w:type="paragraph" w:styleId="Zkladntextodsazen">
    <w:name w:val="Body Text Indent"/>
    <w:basedOn w:val="Normln"/>
    <w:link w:val="ZkladntextodsazenChar"/>
    <w:rsid w:val="0047584B"/>
    <w:pPr>
      <w:ind w:firstLine="708"/>
    </w:pPr>
    <w:rPr>
      <w:rFonts w:ascii="Times New Roman" w:hAnsi="Times New Roman"/>
      <w:noProof w:val="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8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47584B"/>
    <w:pPr>
      <w:ind w:firstLine="708"/>
      <w:jc w:val="both"/>
    </w:pPr>
    <w:rPr>
      <w:rFonts w:ascii="Times New Roman" w:hAnsi="Times New Roman"/>
      <w:noProof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4758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47584B"/>
    <w:pPr>
      <w:jc w:val="both"/>
    </w:pPr>
    <w:rPr>
      <w:rFonts w:ascii="Times New Roman" w:hAnsi="Times New Roman"/>
      <w:noProof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4758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7584B"/>
    <w:pPr>
      <w:ind w:firstLine="708"/>
      <w:jc w:val="both"/>
    </w:pPr>
    <w:rPr>
      <w:rFonts w:ascii="Times New Roman" w:hAnsi="Times New Roman"/>
      <w:noProof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4758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47584B"/>
    <w:pPr>
      <w:jc w:val="both"/>
    </w:pPr>
    <w:rPr>
      <w:rFonts w:ascii="Times New Roman" w:hAnsi="Times New Roman"/>
      <w:noProof w:val="0"/>
      <w:color w:val="FF000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47584B"/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47584B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47584B"/>
    <w:rPr>
      <w:rFonts w:ascii="Courier New" w:eastAsia="Times New Roman" w:hAnsi="Courier New" w:cs="Times New Roman"/>
      <w:noProof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7584B"/>
    <w:pPr>
      <w:ind w:left="720"/>
      <w:contextualSpacing/>
    </w:pPr>
  </w:style>
  <w:style w:type="paragraph" w:customStyle="1" w:styleId="Intro">
    <w:name w:val="Intro"/>
    <w:basedOn w:val="Normln"/>
    <w:rsid w:val="0047584B"/>
    <w:pPr>
      <w:tabs>
        <w:tab w:val="left" w:pos="360"/>
        <w:tab w:val="left" w:pos="720"/>
      </w:tabs>
      <w:spacing w:after="360"/>
    </w:pPr>
    <w:rPr>
      <w:i/>
      <w:noProof w:val="0"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8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84B"/>
    <w:rPr>
      <w:rFonts w:ascii="Tahoma" w:eastAsia="Times New Roman" w:hAnsi="Tahoma" w:cs="Tahoma"/>
      <w:noProof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1596</Words>
  <Characters>9420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Johnson Control Inc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Vladimír Tvrz</dc:creator>
  <cp:lastModifiedBy>Marek Spevacek</cp:lastModifiedBy>
  <cp:revision>3</cp:revision>
  <cp:lastPrinted>2018-07-18T13:32:00Z</cp:lastPrinted>
  <dcterms:created xsi:type="dcterms:W3CDTF">2021-12-05T13:04:00Z</dcterms:created>
  <dcterms:modified xsi:type="dcterms:W3CDTF">2021-12-07T19:15:00Z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e01c0c-f9b3-4dc4-af0b-a82110cc37cd_Enabled">
    <vt:lpwstr>True</vt:lpwstr>
  </property>
  <property fmtid="{D5CDD505-2E9C-101B-9397-08002B2CF9AE}" pid="3" name="MSIP_Label_6be01c0c-f9b3-4dc4-af0b-a82110cc37cd_SiteId">
    <vt:lpwstr>a1f1e214-7ded-45b6-81a1-9e8ae3459641</vt:lpwstr>
  </property>
  <property fmtid="{D5CDD505-2E9C-101B-9397-08002B2CF9AE}" pid="4" name="MSIP_Label_6be01c0c-f9b3-4dc4-af0b-a82110cc37cd_Ref">
    <vt:lpwstr>https://api.informationprotection.azure.com/api/a1f1e214-7ded-45b6-81a1-9e8ae3459641</vt:lpwstr>
  </property>
  <property fmtid="{D5CDD505-2E9C-101B-9397-08002B2CF9AE}" pid="5" name="MSIP_Label_6be01c0c-f9b3-4dc4-af0b-a82110cc37cd_SetBy">
    <vt:lpwstr>cspevam@jci.com</vt:lpwstr>
  </property>
  <property fmtid="{D5CDD505-2E9C-101B-9397-08002B2CF9AE}" pid="6" name="MSIP_Label_6be01c0c-f9b3-4dc4-af0b-a82110cc37cd_SetDate">
    <vt:lpwstr>2018-11-05T14:46:35.8133890+01:00</vt:lpwstr>
  </property>
  <property fmtid="{D5CDD505-2E9C-101B-9397-08002B2CF9AE}" pid="7" name="MSIP_Label_6be01c0c-f9b3-4dc4-af0b-a82110cc37cd_Name">
    <vt:lpwstr>Internal </vt:lpwstr>
  </property>
  <property fmtid="{D5CDD505-2E9C-101B-9397-08002B2CF9AE}" pid="8" name="MSIP_Label_6be01c0c-f9b3-4dc4-af0b-a82110cc37cd_Application">
    <vt:lpwstr>Microsoft Azure Information Protection</vt:lpwstr>
  </property>
  <property fmtid="{D5CDD505-2E9C-101B-9397-08002B2CF9AE}" pid="9" name="MSIP_Label_6be01c0c-f9b3-4dc4-af0b-a82110cc37cd_Extended_MSFT_Method">
    <vt:lpwstr>Automatic</vt:lpwstr>
  </property>
  <property fmtid="{D5CDD505-2E9C-101B-9397-08002B2CF9AE}" pid="10" name="Information Classification">
    <vt:lpwstr>Internal </vt:lpwstr>
  </property>
</Properties>
</file>